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02" w:rsidRPr="00AF52B5" w:rsidRDefault="00AF52B5" w:rsidP="00AF52B5">
      <w:r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99060</wp:posOffset>
            </wp:positionV>
            <wp:extent cx="6191250" cy="4042410"/>
            <wp:effectExtent l="19050" t="0" r="0" b="0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4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802" w:rsidRPr="00AF52B5">
        <w:rPr>
          <w:rFonts w:hint="eastAsia"/>
        </w:rPr>
        <w:t xml:space="preserve">                                                                                                  </w:t>
      </w:r>
    </w:p>
    <w:p w:rsidR="00AF52B5" w:rsidRPr="00AF52B5" w:rsidRDefault="00AF52B5" w:rsidP="002D36F5">
      <w:pPr>
        <w:spacing w:beforeLines="50" w:line="360" w:lineRule="auto"/>
        <w:jc w:val="center"/>
        <w:rPr>
          <w:rFonts w:ascii="宋体" w:hAnsi="宋体"/>
          <w:b/>
          <w:sz w:val="32"/>
          <w:szCs w:val="21"/>
        </w:rPr>
      </w:pPr>
      <w:r w:rsidRPr="00AF52B5">
        <w:rPr>
          <w:rFonts w:ascii="宋体" w:hAnsi="宋体" w:hint="eastAsia"/>
          <w:b/>
          <w:sz w:val="32"/>
          <w:szCs w:val="21"/>
        </w:rPr>
        <w:t>CNIBF2018第十届上海锂电展邀请函</w:t>
      </w:r>
    </w:p>
    <w:p w:rsidR="00D35732" w:rsidRDefault="00AF52B5" w:rsidP="002D36F5">
      <w:pPr>
        <w:spacing w:beforeLines="50" w:after="100" w:afterAutospacing="1" w:line="400" w:lineRule="exact"/>
        <w:ind w:firstLineChars="200" w:firstLine="500"/>
      </w:pPr>
      <w:r w:rsidRPr="00AF52B5">
        <w:rPr>
          <w:rFonts w:ascii="Arial" w:hAnsi="宋体" w:cs="Arial" w:hint="eastAsia"/>
          <w:bCs/>
          <w:spacing w:val="20"/>
          <w:szCs w:val="21"/>
        </w:rPr>
        <w:t>由</w:t>
      </w:r>
      <w:r>
        <w:rPr>
          <w:rFonts w:ascii="Arial" w:hAnsi="宋体" w:cs="Arial" w:hint="eastAsia"/>
          <w:bCs/>
          <w:spacing w:val="20"/>
          <w:szCs w:val="21"/>
        </w:rPr>
        <w:t>新能源汽车产业网、广东省充电设施协会、广东省新能源汽车产业协会和</w:t>
      </w:r>
      <w:r w:rsidRPr="00110225">
        <w:rPr>
          <w:rFonts w:ascii="Arial" w:hAnsi="宋体" w:cs="Arial" w:hint="eastAsia"/>
          <w:bCs/>
          <w:spacing w:val="20"/>
          <w:szCs w:val="21"/>
        </w:rPr>
        <w:t>振威展览</w:t>
      </w:r>
      <w:r>
        <w:rPr>
          <w:rFonts w:ascii="Arial" w:hAnsi="宋体" w:cs="Arial" w:hint="eastAsia"/>
          <w:bCs/>
          <w:spacing w:val="20"/>
          <w:szCs w:val="21"/>
        </w:rPr>
        <w:t>股份联合主办的第十届上海国际锂电工业展览会将于</w:t>
      </w:r>
      <w:r>
        <w:rPr>
          <w:rFonts w:ascii="Arial" w:hAnsi="宋体" w:cs="Arial" w:hint="eastAsia"/>
          <w:bCs/>
          <w:spacing w:val="20"/>
          <w:szCs w:val="21"/>
        </w:rPr>
        <w:t>2018</w:t>
      </w:r>
      <w:r>
        <w:rPr>
          <w:rFonts w:ascii="Arial" w:hAnsi="宋体" w:cs="Arial" w:hint="eastAsia"/>
          <w:bCs/>
          <w:spacing w:val="20"/>
          <w:szCs w:val="21"/>
        </w:rPr>
        <w:t>年</w:t>
      </w:r>
      <w:r>
        <w:rPr>
          <w:rFonts w:ascii="Arial" w:hAnsi="宋体" w:cs="Arial" w:hint="eastAsia"/>
          <w:bCs/>
          <w:spacing w:val="20"/>
          <w:szCs w:val="21"/>
        </w:rPr>
        <w:t>8</w:t>
      </w:r>
      <w:r>
        <w:rPr>
          <w:rFonts w:ascii="Arial" w:hAnsi="宋体" w:cs="Arial" w:hint="eastAsia"/>
          <w:bCs/>
          <w:spacing w:val="20"/>
          <w:szCs w:val="21"/>
        </w:rPr>
        <w:t>月</w:t>
      </w:r>
      <w:r>
        <w:rPr>
          <w:rFonts w:ascii="Arial" w:hAnsi="宋体" w:cs="Arial" w:hint="eastAsia"/>
          <w:bCs/>
          <w:spacing w:val="20"/>
          <w:szCs w:val="21"/>
        </w:rPr>
        <w:t>23-25</w:t>
      </w:r>
      <w:r>
        <w:rPr>
          <w:rFonts w:ascii="Arial" w:hAnsi="宋体" w:cs="Arial" w:hint="eastAsia"/>
          <w:bCs/>
          <w:spacing w:val="20"/>
          <w:szCs w:val="21"/>
        </w:rPr>
        <w:t>日在上海新国际博览中心举行。作为</w:t>
      </w:r>
      <w:r w:rsidRPr="00AF52B5">
        <w:rPr>
          <w:rFonts w:ascii="Arial" w:hAnsi="宋体" w:cs="Arial" w:hint="eastAsia"/>
          <w:bCs/>
          <w:spacing w:val="20"/>
          <w:szCs w:val="21"/>
        </w:rPr>
        <w:t>品牌展示、技术交流和贸易合作、宣传推广、会议研讨为一体的综合服务平台</w:t>
      </w:r>
      <w:r>
        <w:rPr>
          <w:rFonts w:ascii="Arial" w:hAnsi="宋体" w:cs="Arial" w:hint="eastAsia"/>
          <w:bCs/>
          <w:spacing w:val="20"/>
          <w:szCs w:val="21"/>
        </w:rPr>
        <w:t>，振威上海锂电展致力于推动我国锂电</w:t>
      </w:r>
      <w:r w:rsidR="002D36F5">
        <w:rPr>
          <w:rFonts w:ascii="Arial" w:hAnsi="宋体" w:cs="Arial" w:hint="eastAsia"/>
          <w:bCs/>
          <w:spacing w:val="20"/>
          <w:szCs w:val="21"/>
        </w:rPr>
        <w:t>行业</w:t>
      </w:r>
      <w:r>
        <w:rPr>
          <w:rFonts w:ascii="Arial" w:hAnsi="宋体" w:cs="Arial" w:hint="eastAsia"/>
          <w:bCs/>
          <w:spacing w:val="20"/>
          <w:szCs w:val="21"/>
        </w:rPr>
        <w:t>的创新发展。</w:t>
      </w:r>
    </w:p>
    <w:p w:rsidR="00290F52" w:rsidRPr="00E5635B" w:rsidRDefault="00290F52" w:rsidP="002D36F5">
      <w:pPr>
        <w:pStyle w:val="a9"/>
        <w:numPr>
          <w:ilvl w:val="0"/>
          <w:numId w:val="2"/>
        </w:numPr>
        <w:spacing w:afterLines="25" w:line="300" w:lineRule="auto"/>
        <w:ind w:firstLineChars="0"/>
        <w:jc w:val="left"/>
        <w:rPr>
          <w:rFonts w:ascii="黑体" w:eastAsia="黑体"/>
          <w:b/>
          <w:sz w:val="28"/>
          <w:szCs w:val="28"/>
        </w:rPr>
      </w:pPr>
      <w:r w:rsidRPr="00E5635B">
        <w:rPr>
          <w:rFonts w:ascii="黑体" w:eastAsia="黑体" w:hint="eastAsia"/>
          <w:b/>
          <w:color w:val="00B050"/>
          <w:sz w:val="28"/>
          <w:szCs w:val="28"/>
        </w:rPr>
        <w:t>行业背景</w:t>
      </w:r>
      <w:r w:rsidRPr="00E5635B">
        <w:rPr>
          <w:rFonts w:ascii="黑体" w:eastAsia="黑体" w:hint="eastAsia"/>
          <w:b/>
          <w:sz w:val="28"/>
          <w:szCs w:val="28"/>
        </w:rPr>
        <w:t xml:space="preserve"> The Background of </w:t>
      </w:r>
      <w:r w:rsidR="00C40618" w:rsidRPr="00E5635B">
        <w:rPr>
          <w:rFonts w:ascii="黑体" w:eastAsia="黑体" w:hint="eastAsia"/>
          <w:b/>
          <w:sz w:val="28"/>
          <w:szCs w:val="28"/>
        </w:rPr>
        <w:t>Lithium Battery Industry</w:t>
      </w:r>
    </w:p>
    <w:p w:rsidR="0024262E" w:rsidRDefault="0024262E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根据我国</w:t>
      </w:r>
      <w:r w:rsidRPr="006950F3">
        <w:rPr>
          <w:rFonts w:ascii="宋体" w:hAnsi="宋体" w:hint="eastAsia"/>
          <w:szCs w:val="21"/>
        </w:rPr>
        <w:t>节能与</w:t>
      </w:r>
      <w:hyperlink r:id="rId9" w:tgtFrame="_blank" w:history="1">
        <w:r w:rsidRPr="0028163B">
          <w:rPr>
            <w:rFonts w:ascii="宋体" w:hAnsi="宋体" w:hint="eastAsia"/>
            <w:szCs w:val="21"/>
          </w:rPr>
          <w:t>新能源汽车</w:t>
        </w:r>
      </w:hyperlink>
      <w:r w:rsidRPr="006950F3">
        <w:rPr>
          <w:rFonts w:ascii="宋体" w:hAnsi="宋体" w:hint="eastAsia"/>
          <w:szCs w:val="21"/>
        </w:rPr>
        <w:t>产业发展的主要目标，</w:t>
      </w:r>
      <w:bookmarkStart w:id="0" w:name="baidusnap0"/>
      <w:bookmarkEnd w:id="0"/>
      <w:r w:rsidRPr="006950F3">
        <w:rPr>
          <w:rFonts w:ascii="宋体" w:hAnsi="宋体" w:hint="eastAsia"/>
          <w:szCs w:val="21"/>
        </w:rPr>
        <w:t>到2020年，</w:t>
      </w:r>
      <w:bookmarkStart w:id="1" w:name="baidusnap3"/>
      <w:bookmarkEnd w:id="1"/>
      <w:r w:rsidRPr="006950F3">
        <w:rPr>
          <w:rFonts w:ascii="宋体" w:hAnsi="宋体" w:hint="eastAsia"/>
          <w:szCs w:val="21"/>
        </w:rPr>
        <w:t>纯电动汽车和插电式混合动力汽车生产能力达200万辆、累计产销量超过500万辆。</w:t>
      </w:r>
      <w:r>
        <w:rPr>
          <w:rFonts w:ascii="宋体" w:hAnsi="宋体" w:hint="eastAsia"/>
          <w:szCs w:val="21"/>
        </w:rPr>
        <w:t>另一方面</w:t>
      </w:r>
      <w:r w:rsidRPr="0028163B">
        <w:rPr>
          <w:rFonts w:ascii="宋体" w:hAnsi="宋体"/>
          <w:szCs w:val="21"/>
        </w:rPr>
        <w:t>，到2020年，电化学储能装机量将超过2000MW，2016-2020年年复合增长率接近70%，而锂离子电池储能是最主要的电化学储能形式。</w:t>
      </w:r>
      <w:r>
        <w:rPr>
          <w:rFonts w:ascii="宋体" w:hAnsi="宋体" w:hint="eastAsia"/>
          <w:szCs w:val="21"/>
        </w:rPr>
        <w:t>受新能源汽车及储能市场需求的拉动，我国锂电池产业规模迅猛增长。</w:t>
      </w:r>
    </w:p>
    <w:p w:rsidR="0024262E" w:rsidRDefault="0024262E" w:rsidP="00A96C03">
      <w:pPr>
        <w:spacing w:after="100" w:afterAutospacing="1" w:line="324" w:lineRule="auto"/>
        <w:ind w:firstLine="420"/>
        <w:rPr>
          <w:rFonts w:ascii="宋体" w:hAnsi="宋体"/>
          <w:szCs w:val="21"/>
        </w:rPr>
      </w:pPr>
      <w:r w:rsidRPr="005A54F8">
        <w:rPr>
          <w:rFonts w:ascii="宋体" w:hAnsi="宋体"/>
          <w:szCs w:val="21"/>
        </w:rPr>
        <w:t>《锂离子电池产业发展白皮书（2017版）》</w:t>
      </w:r>
      <w:r w:rsidRPr="005A54F8">
        <w:rPr>
          <w:rFonts w:ascii="宋体" w:hAnsi="宋体" w:hint="eastAsia"/>
          <w:szCs w:val="21"/>
        </w:rPr>
        <w:t>显示，2015年中国锂电池产业规模已经超过韩国、日本跃居至全球首位。2016年领先优势继续扩大,占比高达40%</w:t>
      </w:r>
      <w:r>
        <w:rPr>
          <w:rFonts w:ascii="宋体" w:hAnsi="宋体" w:hint="eastAsia"/>
          <w:szCs w:val="21"/>
        </w:rPr>
        <w:t>，其中</w:t>
      </w:r>
      <w:r w:rsidRPr="005A54F8">
        <w:rPr>
          <w:rFonts w:ascii="宋体" w:hAnsi="宋体"/>
          <w:szCs w:val="21"/>
        </w:rPr>
        <w:t>动力型锂离子电池市场占比达到52%，首次突破50%</w:t>
      </w:r>
      <w:r>
        <w:rPr>
          <w:rFonts w:ascii="宋体" w:hAnsi="宋体" w:hint="eastAsia"/>
          <w:szCs w:val="21"/>
        </w:rPr>
        <w:t>。我国锂电池产</w:t>
      </w:r>
      <w:r w:rsidRPr="005A54F8">
        <w:rPr>
          <w:rFonts w:ascii="宋体" w:hAnsi="宋体"/>
          <w:szCs w:val="21"/>
        </w:rPr>
        <w:t>业发展形势向好，</w:t>
      </w:r>
      <w:r>
        <w:rPr>
          <w:rFonts w:ascii="宋体" w:hAnsi="宋体" w:hint="eastAsia"/>
          <w:szCs w:val="21"/>
        </w:rPr>
        <w:t>来自全产业链的许多企业更加重视对新产品与新技术的展示，同时也期望有更多深度交流与合作的机会。</w:t>
      </w:r>
    </w:p>
    <w:p w:rsidR="00AD023E" w:rsidRPr="00E5635B" w:rsidRDefault="00AD023E" w:rsidP="002D36F5">
      <w:pPr>
        <w:pStyle w:val="a9"/>
        <w:numPr>
          <w:ilvl w:val="0"/>
          <w:numId w:val="2"/>
        </w:numPr>
        <w:spacing w:afterLines="50" w:line="288" w:lineRule="auto"/>
        <w:ind w:firstLineChars="0"/>
        <w:rPr>
          <w:rFonts w:ascii="宋体" w:hAnsi="宋体"/>
          <w:szCs w:val="21"/>
        </w:rPr>
      </w:pPr>
      <w:r w:rsidRPr="00E5635B">
        <w:rPr>
          <w:rFonts w:ascii="黑体" w:eastAsia="黑体" w:hint="eastAsia"/>
          <w:b/>
          <w:color w:val="00B050"/>
          <w:sz w:val="28"/>
          <w:szCs w:val="28"/>
        </w:rPr>
        <w:lastRenderedPageBreak/>
        <w:t>展会概况</w:t>
      </w:r>
      <w:r w:rsidRPr="00E5635B">
        <w:rPr>
          <w:rFonts w:ascii="宋体" w:hAnsi="宋体" w:hint="eastAsia"/>
          <w:szCs w:val="21"/>
        </w:rPr>
        <w:t xml:space="preserve"> </w:t>
      </w:r>
      <w:r w:rsidRPr="00E5635B">
        <w:rPr>
          <w:rFonts w:ascii="黑体" w:eastAsia="黑体" w:hint="eastAsia"/>
          <w:b/>
          <w:sz w:val="28"/>
          <w:szCs w:val="28"/>
        </w:rPr>
        <w:t>The General Situation of CNIBF</w:t>
      </w:r>
    </w:p>
    <w:p w:rsidR="0024262E" w:rsidRDefault="00AD023E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</w:t>
      </w:r>
      <w:r w:rsidRPr="001308E7">
        <w:rPr>
          <w:rFonts w:ascii="宋体" w:hAnsi="宋体" w:hint="eastAsia"/>
          <w:szCs w:val="21"/>
        </w:rPr>
        <w:t>届</w:t>
      </w:r>
      <w:r>
        <w:rPr>
          <w:rFonts w:ascii="宋体" w:hAnsi="宋体" w:hint="eastAsia"/>
          <w:szCs w:val="21"/>
        </w:rPr>
        <w:t>上海</w:t>
      </w:r>
      <w:r w:rsidRPr="001308E7">
        <w:rPr>
          <w:rFonts w:ascii="宋体" w:hAnsi="宋体" w:hint="eastAsia"/>
          <w:szCs w:val="21"/>
        </w:rPr>
        <w:t>国际锂电工业展览会将于201</w:t>
      </w:r>
      <w:r>
        <w:rPr>
          <w:rFonts w:ascii="宋体" w:hAnsi="宋体" w:hint="eastAsia"/>
          <w:szCs w:val="21"/>
        </w:rPr>
        <w:t>8</w:t>
      </w:r>
      <w:r w:rsidRPr="001308E7">
        <w:rPr>
          <w:rFonts w:ascii="宋体" w:hAnsi="宋体" w:hint="eastAsia"/>
          <w:szCs w:val="21"/>
        </w:rPr>
        <w:t>年8月23-25日在上海新国际博览中心隆重举行。</w:t>
      </w:r>
      <w:r>
        <w:rPr>
          <w:rFonts w:ascii="宋体" w:hAnsi="宋体" w:hint="eastAsia"/>
          <w:szCs w:val="21"/>
        </w:rPr>
        <w:t>展会同期举办新能源汽车展、超级电容器展、充电设备展、储能展，预计展示面积将达50,000平方米，超过600家国内外参展商将在现场展示全</w:t>
      </w:r>
      <w:r w:rsidRPr="001308E7">
        <w:rPr>
          <w:rFonts w:ascii="宋体" w:hAnsi="宋体" w:hint="eastAsia"/>
          <w:szCs w:val="21"/>
        </w:rPr>
        <w:t>产业链的</w:t>
      </w:r>
      <w:r>
        <w:rPr>
          <w:rFonts w:ascii="宋体" w:hAnsi="宋体" w:hint="eastAsia"/>
          <w:szCs w:val="21"/>
        </w:rPr>
        <w:t>最新产品和</w:t>
      </w:r>
      <w:r w:rsidRPr="001308E7">
        <w:rPr>
          <w:rFonts w:ascii="宋体" w:hAnsi="宋体" w:hint="eastAsia"/>
          <w:szCs w:val="21"/>
        </w:rPr>
        <w:t>技术，</w:t>
      </w:r>
      <w:r>
        <w:rPr>
          <w:rFonts w:ascii="宋体" w:hAnsi="宋体" w:hint="eastAsia"/>
          <w:szCs w:val="21"/>
        </w:rPr>
        <w:t>2</w:t>
      </w:r>
      <w:r w:rsidRPr="001308E7">
        <w:rPr>
          <w:rFonts w:ascii="宋体" w:hAnsi="宋体" w:hint="eastAsia"/>
          <w:szCs w:val="21"/>
        </w:rPr>
        <w:t>00多个参观团和</w:t>
      </w:r>
      <w:r>
        <w:rPr>
          <w:rFonts w:ascii="宋体" w:hAnsi="宋体" w:hint="eastAsia"/>
          <w:szCs w:val="21"/>
        </w:rPr>
        <w:t>超过50,</w:t>
      </w:r>
      <w:r w:rsidRPr="001308E7">
        <w:rPr>
          <w:rFonts w:ascii="宋体" w:hAnsi="宋体" w:hint="eastAsia"/>
          <w:szCs w:val="21"/>
        </w:rPr>
        <w:t>000名观众</w:t>
      </w:r>
      <w:r>
        <w:rPr>
          <w:rFonts w:ascii="宋体" w:hAnsi="宋体" w:hint="eastAsia"/>
          <w:szCs w:val="21"/>
        </w:rPr>
        <w:t>将</w:t>
      </w:r>
      <w:r w:rsidRPr="001308E7">
        <w:rPr>
          <w:rFonts w:ascii="宋体" w:hAnsi="宋体" w:hint="eastAsia"/>
          <w:szCs w:val="21"/>
        </w:rPr>
        <w:t>莅临现场参观</w:t>
      </w:r>
      <w:r>
        <w:rPr>
          <w:rFonts w:ascii="宋体" w:hAnsi="宋体" w:hint="eastAsia"/>
          <w:szCs w:val="21"/>
        </w:rPr>
        <w:t>交流，共同促进产业创新发展</w:t>
      </w:r>
      <w:r w:rsidRPr="001308E7">
        <w:rPr>
          <w:rFonts w:ascii="宋体" w:hAnsi="宋体" w:hint="eastAsia"/>
          <w:szCs w:val="21"/>
        </w:rPr>
        <w:t>。</w:t>
      </w:r>
    </w:p>
    <w:p w:rsidR="0006638E" w:rsidRDefault="0006638E" w:rsidP="00A96C03">
      <w:pPr>
        <w:spacing w:after="100" w:afterAutospacing="1" w:line="324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来自日本、韩国、美国、德国等国家的松下、TOYO、</w:t>
      </w:r>
      <w:r w:rsidRPr="00A6521B">
        <w:rPr>
          <w:rFonts w:ascii="宋体" w:hAnsi="宋体"/>
          <w:szCs w:val="21"/>
        </w:rPr>
        <w:t>Hosokawa Micron</w:t>
      </w:r>
      <w:r>
        <w:rPr>
          <w:rFonts w:ascii="宋体" w:hAnsi="宋体" w:hint="eastAsia"/>
          <w:szCs w:val="21"/>
        </w:rPr>
        <w:t>、</w:t>
      </w:r>
      <w:r w:rsidRPr="00A6521B">
        <w:rPr>
          <w:rFonts w:ascii="宋体" w:hAnsi="宋体"/>
          <w:szCs w:val="21"/>
        </w:rPr>
        <w:t>THM株式会社</w:t>
      </w:r>
      <w:r w:rsidRPr="00A6521B">
        <w:rPr>
          <w:rFonts w:ascii="宋体" w:hAnsi="宋体" w:hint="eastAsia"/>
          <w:szCs w:val="21"/>
        </w:rPr>
        <w:t>、</w:t>
      </w:r>
      <w:proofErr w:type="spellStart"/>
      <w:r>
        <w:rPr>
          <w:rFonts w:ascii="宋体" w:hAnsi="宋体" w:hint="eastAsia"/>
          <w:szCs w:val="21"/>
        </w:rPr>
        <w:t>Yasunaga</w:t>
      </w:r>
      <w:proofErr w:type="spellEnd"/>
      <w:r>
        <w:rPr>
          <w:rFonts w:ascii="宋体" w:hAnsi="宋体" w:hint="eastAsia"/>
          <w:szCs w:val="21"/>
        </w:rPr>
        <w:t>、HIOKI、FUJI CHEMI、LG化学、</w:t>
      </w:r>
      <w:r w:rsidRPr="001308E7">
        <w:rPr>
          <w:rFonts w:ascii="宋体" w:hAnsi="宋体" w:hint="eastAsia"/>
          <w:szCs w:val="21"/>
        </w:rPr>
        <w:t>VITZROCELL</w:t>
      </w:r>
      <w:r>
        <w:rPr>
          <w:rFonts w:ascii="宋体" w:hAnsi="宋体" w:hint="eastAsia"/>
          <w:szCs w:val="21"/>
        </w:rPr>
        <w:t>、YM Tech、</w:t>
      </w:r>
      <w:r w:rsidRPr="001308E7">
        <w:rPr>
          <w:rFonts w:ascii="宋体" w:hAnsi="宋体" w:hint="eastAsia"/>
          <w:szCs w:val="21"/>
        </w:rPr>
        <w:t>U-JIN</w:t>
      </w:r>
      <w:r>
        <w:rPr>
          <w:rFonts w:ascii="宋体" w:hAnsi="宋体" w:hint="eastAsia"/>
          <w:szCs w:val="21"/>
        </w:rPr>
        <w:t>、BSK、DCN、</w:t>
      </w:r>
      <w:r w:rsidRPr="00C97F1D">
        <w:rPr>
          <w:rFonts w:ascii="宋体" w:hAnsi="宋体" w:hint="eastAsia"/>
          <w:szCs w:val="21"/>
        </w:rPr>
        <w:t>KLIC、Dreamweaver</w:t>
      </w:r>
      <w:r>
        <w:rPr>
          <w:rFonts w:ascii="宋体" w:hAnsi="宋体" w:hint="eastAsia"/>
          <w:szCs w:val="21"/>
        </w:rPr>
        <w:t>、MANZ等国际知名企业，以及比亚迪、天津力神、杉杉股份、德赛、鹏辉、精工电子、创明新能源、华瑞高新、</w:t>
      </w:r>
      <w:r w:rsidR="00771DFC">
        <w:rPr>
          <w:rFonts w:ascii="宋体" w:hAnsi="宋体" w:hint="eastAsia"/>
          <w:szCs w:val="21"/>
        </w:rPr>
        <w:t>山西</w:t>
      </w:r>
      <w:r w:rsidR="00DA09FB">
        <w:rPr>
          <w:rFonts w:ascii="宋体" w:hAnsi="宋体" w:hint="eastAsia"/>
          <w:szCs w:val="21"/>
        </w:rPr>
        <w:t>煤化所</w:t>
      </w:r>
      <w:r w:rsidRPr="00BD3294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吉阳自动化、达力电源、华冠科技、</w:t>
      </w:r>
      <w:r w:rsidR="00771DFC" w:rsidRPr="00771DFC">
        <w:rPr>
          <w:rFonts w:ascii="宋体" w:hAnsi="宋体" w:hint="eastAsia"/>
          <w:szCs w:val="21"/>
        </w:rPr>
        <w:t>米开罗那、灵鸽科技、诚捷智能、泰德激光、迅镭激光、逸飞激光</w:t>
      </w:r>
      <w:r>
        <w:rPr>
          <w:rFonts w:ascii="宋体" w:hAnsi="宋体" w:hint="eastAsia"/>
          <w:szCs w:val="21"/>
        </w:rPr>
        <w:t>等中国本土知名企业，欲借助中国最大锂电展，寻找更多合作伙伴，积极开拓市场或巩固市场优势。</w:t>
      </w:r>
    </w:p>
    <w:p w:rsidR="00D82B49" w:rsidRPr="00D82B49" w:rsidRDefault="00D82B49" w:rsidP="002D36F5">
      <w:pPr>
        <w:pStyle w:val="a9"/>
        <w:numPr>
          <w:ilvl w:val="0"/>
          <w:numId w:val="2"/>
        </w:numPr>
        <w:spacing w:afterLines="50" w:line="288" w:lineRule="auto"/>
        <w:ind w:firstLineChars="0"/>
        <w:rPr>
          <w:rFonts w:ascii="黑体" w:eastAsia="黑体"/>
          <w:b/>
          <w:sz w:val="28"/>
          <w:szCs w:val="28"/>
        </w:rPr>
      </w:pPr>
      <w:r w:rsidRPr="00D82B49">
        <w:rPr>
          <w:rFonts w:ascii="黑体" w:eastAsia="黑体" w:hint="eastAsia"/>
          <w:b/>
          <w:color w:val="00B050"/>
          <w:sz w:val="28"/>
          <w:szCs w:val="28"/>
        </w:rPr>
        <w:t>同期活动</w:t>
      </w:r>
      <w:r w:rsidRPr="00D82B49">
        <w:rPr>
          <w:rFonts w:ascii="黑体" w:eastAsia="黑体" w:hint="eastAsia"/>
          <w:b/>
          <w:sz w:val="28"/>
          <w:szCs w:val="28"/>
        </w:rPr>
        <w:t xml:space="preserve"> Concurrent Activities</w:t>
      </w:r>
    </w:p>
    <w:p w:rsidR="00DF48B5" w:rsidRDefault="00D82B49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D82B49">
        <w:rPr>
          <w:rFonts w:ascii="宋体" w:hAnsi="宋体" w:hint="eastAsia"/>
          <w:szCs w:val="21"/>
        </w:rPr>
        <w:t>展会同期举办2018</w:t>
      </w:r>
      <w:r w:rsidR="002C1A6E">
        <w:rPr>
          <w:rFonts w:ascii="宋体" w:hAnsi="宋体" w:hint="eastAsia"/>
          <w:szCs w:val="21"/>
        </w:rPr>
        <w:t>中国</w:t>
      </w:r>
      <w:r w:rsidRPr="00D82B49">
        <w:rPr>
          <w:rFonts w:ascii="宋体" w:hAnsi="宋体" w:hint="eastAsia"/>
          <w:szCs w:val="21"/>
        </w:rPr>
        <w:t>新能源汽车产业峰会、2018</w:t>
      </w:r>
      <w:r w:rsidR="002C1A6E">
        <w:rPr>
          <w:rFonts w:ascii="宋体" w:hAnsi="宋体" w:hint="eastAsia"/>
          <w:szCs w:val="21"/>
        </w:rPr>
        <w:t>中国动力电池暨</w:t>
      </w:r>
      <w:r w:rsidRPr="00D82B49">
        <w:rPr>
          <w:rFonts w:ascii="宋体" w:hAnsi="宋体" w:hint="eastAsia"/>
          <w:szCs w:val="21"/>
        </w:rPr>
        <w:t>石墨烯产业</w:t>
      </w:r>
      <w:r w:rsidR="002C1A6E">
        <w:rPr>
          <w:rFonts w:ascii="宋体" w:hAnsi="宋体" w:hint="eastAsia"/>
          <w:szCs w:val="21"/>
        </w:rPr>
        <w:t>峰会</w:t>
      </w:r>
      <w:r w:rsidR="00C95FE1">
        <w:rPr>
          <w:rFonts w:ascii="宋体" w:hAnsi="宋体" w:hint="eastAsia"/>
          <w:szCs w:val="21"/>
        </w:rPr>
        <w:t>、2018中国储能产业峰会</w:t>
      </w:r>
      <w:r w:rsidRPr="00D82B49">
        <w:rPr>
          <w:rFonts w:ascii="宋体" w:hAnsi="宋体" w:hint="eastAsia"/>
          <w:szCs w:val="21"/>
        </w:rPr>
        <w:t>等会议活动，</w:t>
      </w:r>
      <w:r w:rsidR="00DF48B5">
        <w:rPr>
          <w:rFonts w:ascii="宋体" w:hAnsi="宋体" w:hint="eastAsia"/>
          <w:szCs w:val="21"/>
        </w:rPr>
        <w:t>组委会将邀请</w:t>
      </w:r>
      <w:r w:rsidR="00C82C0F">
        <w:rPr>
          <w:rFonts w:ascii="宋体" w:hAnsi="宋体" w:hint="eastAsia"/>
          <w:szCs w:val="21"/>
        </w:rPr>
        <w:t>来自中国工程院、新能源汽车、动力电池、</w:t>
      </w:r>
      <w:r w:rsidR="00C95FE1">
        <w:rPr>
          <w:rFonts w:ascii="宋体" w:hAnsi="宋体" w:hint="eastAsia"/>
          <w:szCs w:val="21"/>
        </w:rPr>
        <w:t>PACK、BMS、</w:t>
      </w:r>
      <w:r w:rsidR="00C82C0F">
        <w:rPr>
          <w:rFonts w:ascii="宋体" w:hAnsi="宋体" w:hint="eastAsia"/>
          <w:szCs w:val="21"/>
        </w:rPr>
        <w:t>电池材料、</w:t>
      </w:r>
      <w:r w:rsidR="00C95FE1">
        <w:rPr>
          <w:rFonts w:ascii="宋体" w:hAnsi="宋体" w:hint="eastAsia"/>
          <w:szCs w:val="21"/>
        </w:rPr>
        <w:t>石墨烯、设备制造、超级电容器及储能系统等相关领域的</w:t>
      </w:r>
      <w:r w:rsidR="00A96C03">
        <w:rPr>
          <w:rFonts w:ascii="宋体" w:hAnsi="宋体" w:hint="eastAsia"/>
          <w:szCs w:val="21"/>
        </w:rPr>
        <w:t>杰出代表发表主题演讲，进一步深化行业交流、推动跨界融合。</w:t>
      </w:r>
    </w:p>
    <w:p w:rsidR="00D82B49" w:rsidRPr="00D82B49" w:rsidRDefault="00C95FE1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此外，组委会还将组织</w:t>
      </w:r>
      <w:r w:rsidR="00D82B49" w:rsidRPr="00D82B49">
        <w:rPr>
          <w:rFonts w:ascii="宋体" w:hAnsi="宋体" w:hint="eastAsia"/>
          <w:szCs w:val="21"/>
        </w:rPr>
        <w:t>大会欢迎晚宴暨CNIBF十周年庆典活动，邀请来自新能源汽车</w:t>
      </w:r>
      <w:r w:rsidR="00A96C03">
        <w:rPr>
          <w:rFonts w:ascii="宋体" w:hAnsi="宋体" w:hint="eastAsia"/>
          <w:szCs w:val="21"/>
        </w:rPr>
        <w:t>及储能</w:t>
      </w:r>
      <w:r w:rsidR="00D82B49" w:rsidRPr="00D82B49">
        <w:rPr>
          <w:rFonts w:ascii="宋体" w:hAnsi="宋体" w:hint="eastAsia"/>
          <w:szCs w:val="21"/>
        </w:rPr>
        <w:t>产业各个领域的知名专家学者、领军企业高层与政府代表、协会代表</w:t>
      </w:r>
      <w:r>
        <w:rPr>
          <w:rFonts w:ascii="宋体" w:hAnsi="宋体" w:hint="eastAsia"/>
          <w:szCs w:val="21"/>
        </w:rPr>
        <w:t>、产业代表</w:t>
      </w:r>
      <w:r w:rsidR="00D82B49" w:rsidRPr="00D82B49">
        <w:rPr>
          <w:rFonts w:ascii="宋体" w:hAnsi="宋体" w:hint="eastAsia"/>
          <w:szCs w:val="21"/>
        </w:rPr>
        <w:t>及</w:t>
      </w:r>
      <w:r>
        <w:rPr>
          <w:rFonts w:ascii="宋体" w:hAnsi="宋体" w:hint="eastAsia"/>
          <w:szCs w:val="21"/>
        </w:rPr>
        <w:t>投资机构</w:t>
      </w:r>
      <w:r w:rsidR="00D82B49" w:rsidRPr="00D82B49">
        <w:rPr>
          <w:rFonts w:ascii="宋体" w:hAnsi="宋体" w:hint="eastAsia"/>
          <w:szCs w:val="21"/>
        </w:rPr>
        <w:t>人士共同出席，积极打造高端商务交流合作平台，有效保障企业参展效果。</w:t>
      </w:r>
    </w:p>
    <w:p w:rsidR="0006638E" w:rsidRPr="00E5635B" w:rsidRDefault="00132E7C" w:rsidP="002D36F5">
      <w:pPr>
        <w:pStyle w:val="a9"/>
        <w:numPr>
          <w:ilvl w:val="0"/>
          <w:numId w:val="2"/>
        </w:numPr>
        <w:spacing w:afterLines="50" w:line="288" w:lineRule="auto"/>
        <w:ind w:firstLineChars="0"/>
        <w:rPr>
          <w:rFonts w:asciiTheme="majorEastAsia" w:eastAsiaTheme="majorEastAsia" w:hAnsiTheme="majorEastAsia"/>
          <w:szCs w:val="21"/>
        </w:rPr>
      </w:pPr>
      <w:r>
        <w:rPr>
          <w:rFonts w:ascii="黑体" w:eastAsia="黑体" w:hint="eastAsia"/>
          <w:b/>
          <w:color w:val="00B050"/>
          <w:sz w:val="28"/>
          <w:szCs w:val="28"/>
        </w:rPr>
        <w:t>参观</w:t>
      </w:r>
      <w:r w:rsidR="0006638E" w:rsidRPr="00E5635B">
        <w:rPr>
          <w:rFonts w:ascii="黑体" w:eastAsia="黑体" w:hint="eastAsia"/>
          <w:b/>
          <w:color w:val="00B050"/>
          <w:sz w:val="28"/>
          <w:szCs w:val="28"/>
        </w:rPr>
        <w:t>商来源</w:t>
      </w:r>
      <w:r w:rsidR="0006638E" w:rsidRPr="00E5635B">
        <w:rPr>
          <w:rFonts w:ascii="宋体" w:hAnsi="宋体" w:hint="eastAsia"/>
          <w:szCs w:val="21"/>
        </w:rPr>
        <w:t xml:space="preserve"> </w:t>
      </w:r>
      <w:r w:rsidR="0006638E" w:rsidRPr="00E5635B">
        <w:rPr>
          <w:rFonts w:ascii="黑体" w:eastAsia="黑体" w:hint="eastAsia"/>
          <w:b/>
          <w:sz w:val="28"/>
          <w:szCs w:val="28"/>
        </w:rPr>
        <w:t xml:space="preserve">Source of </w:t>
      </w:r>
      <w:r>
        <w:rPr>
          <w:rFonts w:ascii="黑体" w:eastAsia="黑体" w:hint="eastAsia"/>
          <w:b/>
          <w:sz w:val="28"/>
          <w:szCs w:val="28"/>
        </w:rPr>
        <w:t>Visitor</w:t>
      </w:r>
      <w:r w:rsidR="0006638E" w:rsidRPr="00E5635B">
        <w:rPr>
          <w:rFonts w:ascii="黑体" w:eastAsia="黑体" w:hint="eastAsia"/>
          <w:b/>
          <w:sz w:val="28"/>
          <w:szCs w:val="28"/>
        </w:rPr>
        <w:t>s</w:t>
      </w:r>
    </w:p>
    <w:p w:rsidR="00290F52" w:rsidRDefault="00F43E3F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A2665E">
        <w:rPr>
          <w:rFonts w:ascii="宋体" w:hAnsi="宋体" w:hint="eastAsia"/>
          <w:b/>
          <w:szCs w:val="21"/>
        </w:rPr>
        <w:t>1）</w:t>
      </w:r>
      <w:r w:rsidR="0065736A" w:rsidRPr="00A2665E">
        <w:rPr>
          <w:rFonts w:ascii="宋体" w:hAnsi="宋体" w:hint="eastAsia"/>
          <w:b/>
          <w:szCs w:val="21"/>
        </w:rPr>
        <w:t>整车企业：</w:t>
      </w:r>
      <w:r w:rsidR="00D82B49">
        <w:rPr>
          <w:rFonts w:ascii="宋体" w:hAnsi="宋体" w:hint="eastAsia"/>
          <w:szCs w:val="21"/>
        </w:rPr>
        <w:t>北汽新能源、上汽集团、</w:t>
      </w:r>
      <w:r w:rsidR="009164F5">
        <w:rPr>
          <w:rFonts w:ascii="宋体" w:hAnsi="宋体" w:hint="eastAsia"/>
          <w:szCs w:val="21"/>
        </w:rPr>
        <w:t>比亚迪、</w:t>
      </w:r>
      <w:r w:rsidR="004D46A9">
        <w:rPr>
          <w:rFonts w:ascii="宋体" w:hAnsi="宋体" w:hint="eastAsia"/>
          <w:szCs w:val="21"/>
        </w:rPr>
        <w:t>宇通客车、中通汽车工业集团、南京金龙客车、深圳五洲龙、中科动力、中车时代、华泰汽车集团、福建新龙马、重庆长帆、成都雅骏、雷丁汽车等；</w:t>
      </w:r>
    </w:p>
    <w:p w:rsidR="00311BDF" w:rsidRDefault="00F43E3F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A2665E">
        <w:rPr>
          <w:rFonts w:ascii="宋体" w:hAnsi="宋体" w:hint="eastAsia"/>
          <w:b/>
          <w:szCs w:val="21"/>
        </w:rPr>
        <w:t>2）</w:t>
      </w:r>
      <w:r w:rsidR="00311BDF" w:rsidRPr="00A2665E">
        <w:rPr>
          <w:rFonts w:ascii="宋体" w:hAnsi="宋体" w:hint="eastAsia"/>
          <w:b/>
          <w:szCs w:val="21"/>
        </w:rPr>
        <w:t>储能系统：</w:t>
      </w:r>
      <w:r w:rsidR="003A364D">
        <w:rPr>
          <w:rFonts w:ascii="宋体" w:hAnsi="宋体" w:hint="eastAsia"/>
          <w:szCs w:val="21"/>
        </w:rPr>
        <w:t>阳光电源、圣阳电源、科陆电子、协鑫集成、安徽天康、南都电源、国电南瑞、鲁能智能、易事特、中恒电气、华富储能、亨通光电、科力远等；</w:t>
      </w:r>
    </w:p>
    <w:p w:rsidR="00D82B49" w:rsidRDefault="00311BDF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A2665E">
        <w:rPr>
          <w:rFonts w:ascii="宋体" w:hAnsi="宋体" w:hint="eastAsia"/>
          <w:b/>
          <w:szCs w:val="21"/>
        </w:rPr>
        <w:t>3）</w:t>
      </w:r>
      <w:r w:rsidR="00D82B49" w:rsidRPr="00A2665E">
        <w:rPr>
          <w:rFonts w:ascii="宋体" w:hAnsi="宋体" w:hint="eastAsia"/>
          <w:b/>
          <w:szCs w:val="21"/>
        </w:rPr>
        <w:t>电池企业：</w:t>
      </w:r>
      <w:r w:rsidR="00D82B49">
        <w:rPr>
          <w:rFonts w:ascii="宋体" w:hAnsi="宋体" w:hint="eastAsia"/>
          <w:szCs w:val="21"/>
        </w:rPr>
        <w:t>三星SDI、</w:t>
      </w:r>
      <w:r w:rsidR="009164F5">
        <w:rPr>
          <w:rFonts w:ascii="宋体" w:hAnsi="宋体" w:hint="eastAsia"/>
          <w:szCs w:val="21"/>
        </w:rPr>
        <w:t>宁德时代、国轩高科、超威集团、光宇电源、中航锂电、猛狮新能源、</w:t>
      </w:r>
      <w:r w:rsidR="00EA3225">
        <w:rPr>
          <w:rFonts w:ascii="宋体" w:hAnsi="宋体" w:hint="eastAsia"/>
          <w:szCs w:val="21"/>
        </w:rPr>
        <w:t>亿纬锂能、</w:t>
      </w:r>
      <w:r w:rsidR="000E367F">
        <w:rPr>
          <w:rFonts w:ascii="宋体" w:hAnsi="宋体" w:hint="eastAsia"/>
          <w:szCs w:val="21"/>
        </w:rPr>
        <w:t>微宏动力、国能电池</w:t>
      </w:r>
      <w:r w:rsidR="00EA3225">
        <w:rPr>
          <w:rFonts w:ascii="宋体" w:hAnsi="宋体" w:hint="eastAsia"/>
          <w:szCs w:val="21"/>
        </w:rPr>
        <w:t>、索尼电子、飞毛腿</w:t>
      </w:r>
      <w:r w:rsidR="00DA42D5">
        <w:rPr>
          <w:rFonts w:ascii="宋体" w:hAnsi="宋体" w:hint="eastAsia"/>
          <w:szCs w:val="21"/>
        </w:rPr>
        <w:t>集团</w:t>
      </w:r>
      <w:r w:rsidR="000E367F">
        <w:rPr>
          <w:rFonts w:ascii="宋体" w:hAnsi="宋体" w:hint="eastAsia"/>
          <w:szCs w:val="21"/>
        </w:rPr>
        <w:t>等；</w:t>
      </w:r>
    </w:p>
    <w:p w:rsidR="00F43E3F" w:rsidRDefault="00311BDF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A2665E">
        <w:rPr>
          <w:rFonts w:ascii="宋体" w:hAnsi="宋体" w:hint="eastAsia"/>
          <w:b/>
          <w:szCs w:val="21"/>
        </w:rPr>
        <w:t>4</w:t>
      </w:r>
      <w:r w:rsidR="00D82B49" w:rsidRPr="00A2665E">
        <w:rPr>
          <w:rFonts w:ascii="宋体" w:hAnsi="宋体" w:hint="eastAsia"/>
          <w:b/>
          <w:szCs w:val="21"/>
        </w:rPr>
        <w:t>）</w:t>
      </w:r>
      <w:r w:rsidR="0065736A" w:rsidRPr="00A2665E">
        <w:rPr>
          <w:rFonts w:ascii="宋体" w:hAnsi="宋体" w:hint="eastAsia"/>
          <w:b/>
          <w:szCs w:val="21"/>
        </w:rPr>
        <w:t>材料企业：</w:t>
      </w:r>
      <w:r w:rsidRPr="00311BDF">
        <w:rPr>
          <w:rFonts w:ascii="宋体" w:hAnsi="宋体" w:hint="eastAsia"/>
          <w:szCs w:val="21"/>
        </w:rPr>
        <w:t>当升科技</w:t>
      </w:r>
      <w:r>
        <w:rPr>
          <w:rFonts w:ascii="宋体" w:hAnsi="宋体" w:hint="eastAsia"/>
          <w:szCs w:val="21"/>
        </w:rPr>
        <w:t>、</w:t>
      </w:r>
      <w:r w:rsidRPr="00311BDF">
        <w:rPr>
          <w:rFonts w:ascii="宋体" w:hAnsi="宋体" w:hint="eastAsia"/>
          <w:szCs w:val="21"/>
        </w:rPr>
        <w:t>常州第六元素</w:t>
      </w:r>
      <w:r>
        <w:rPr>
          <w:rFonts w:ascii="宋体" w:hAnsi="宋体" w:hint="eastAsia"/>
          <w:szCs w:val="21"/>
        </w:rPr>
        <w:t>、多氟多、天津金牛、锦美碳材、振华新材、厦钨新能源、玉皇新能源、格林美、贝特瑞、广州聚合科技、</w:t>
      </w:r>
      <w:r w:rsidRPr="00311BDF">
        <w:rPr>
          <w:rFonts w:ascii="宋体" w:hAnsi="宋体" w:hint="eastAsia"/>
          <w:szCs w:val="21"/>
        </w:rPr>
        <w:t>湖南瑞翔</w:t>
      </w:r>
      <w:r>
        <w:rPr>
          <w:rFonts w:ascii="宋体" w:hAnsi="宋体" w:hint="eastAsia"/>
          <w:szCs w:val="21"/>
        </w:rPr>
        <w:t>、</w:t>
      </w:r>
      <w:r w:rsidRPr="00311BDF">
        <w:rPr>
          <w:rFonts w:ascii="宋体" w:hAnsi="宋体"/>
          <w:szCs w:val="21"/>
        </w:rPr>
        <w:t>昂星新型碳材料常州有限公司</w:t>
      </w:r>
      <w:r>
        <w:rPr>
          <w:rFonts w:ascii="宋体" w:hAnsi="宋体" w:hint="eastAsia"/>
          <w:szCs w:val="21"/>
        </w:rPr>
        <w:t>等；</w:t>
      </w:r>
    </w:p>
    <w:p w:rsidR="0065736A" w:rsidRDefault="00311BDF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A2665E">
        <w:rPr>
          <w:rFonts w:ascii="宋体" w:hAnsi="宋体" w:hint="eastAsia"/>
          <w:b/>
          <w:szCs w:val="21"/>
        </w:rPr>
        <w:lastRenderedPageBreak/>
        <w:t>5</w:t>
      </w:r>
      <w:r w:rsidR="0065736A" w:rsidRPr="00A2665E">
        <w:rPr>
          <w:rFonts w:ascii="宋体" w:hAnsi="宋体" w:hint="eastAsia"/>
          <w:b/>
          <w:szCs w:val="21"/>
        </w:rPr>
        <w:t>）交投集团：</w:t>
      </w:r>
      <w:r w:rsidR="0062401D">
        <w:rPr>
          <w:rFonts w:ascii="宋体" w:hAnsi="宋体" w:hint="eastAsia"/>
          <w:szCs w:val="21"/>
        </w:rPr>
        <w:t>杭州市公交集团、南京市公交集团、哈尔滨公交集团、青岛公交集团、荆州市公交集团、深圳巴士集团、三亚市公交集团、重庆市汽车运输集团等；</w:t>
      </w:r>
    </w:p>
    <w:p w:rsidR="0065736A" w:rsidRDefault="00311BDF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A2665E">
        <w:rPr>
          <w:rFonts w:ascii="宋体" w:hAnsi="宋体" w:hint="eastAsia"/>
          <w:b/>
          <w:szCs w:val="21"/>
        </w:rPr>
        <w:t>6</w:t>
      </w:r>
      <w:r w:rsidR="0065736A" w:rsidRPr="00A2665E">
        <w:rPr>
          <w:rFonts w:ascii="宋体" w:hAnsi="宋体" w:hint="eastAsia"/>
          <w:b/>
          <w:szCs w:val="21"/>
        </w:rPr>
        <w:t>）政府单位：</w:t>
      </w:r>
      <w:r w:rsidR="0065736A" w:rsidRPr="00F43E3F">
        <w:rPr>
          <w:rFonts w:ascii="宋体" w:hAnsi="宋体" w:hint="eastAsia"/>
          <w:szCs w:val="21"/>
        </w:rPr>
        <w:t>上海市发改委、上海市新能源汽车推进领导小组办公室、广东省发改委、湖南省发改委、贵州省能源局、三亚市发改委、丽水市发改委、新乡市工信委</w:t>
      </w:r>
      <w:r w:rsidR="0065736A">
        <w:rPr>
          <w:rFonts w:ascii="宋体" w:hAnsi="宋体" w:hint="eastAsia"/>
          <w:szCs w:val="21"/>
        </w:rPr>
        <w:t>、汕头市发改局</w:t>
      </w:r>
      <w:r w:rsidR="0065736A" w:rsidRPr="00F43E3F">
        <w:rPr>
          <w:rFonts w:ascii="宋体" w:hAnsi="宋体" w:hint="eastAsia"/>
          <w:szCs w:val="21"/>
        </w:rPr>
        <w:t>等；</w:t>
      </w:r>
    </w:p>
    <w:p w:rsidR="0065736A" w:rsidRDefault="00311BDF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A2665E">
        <w:rPr>
          <w:rFonts w:ascii="宋体" w:hAnsi="宋体" w:hint="eastAsia"/>
          <w:b/>
          <w:szCs w:val="21"/>
        </w:rPr>
        <w:t>7</w:t>
      </w:r>
      <w:r w:rsidR="0065736A" w:rsidRPr="00A2665E">
        <w:rPr>
          <w:rFonts w:ascii="宋体" w:hAnsi="宋体" w:hint="eastAsia"/>
          <w:b/>
          <w:szCs w:val="21"/>
        </w:rPr>
        <w:t>）行业协会：</w:t>
      </w:r>
      <w:r w:rsidR="0065736A">
        <w:rPr>
          <w:rFonts w:ascii="宋体" w:hAnsi="宋体" w:hint="eastAsia"/>
          <w:szCs w:val="21"/>
        </w:rPr>
        <w:t>中国土木工程学会城市公共交通学会、</w:t>
      </w:r>
      <w:r w:rsidR="00264E69">
        <w:rPr>
          <w:rFonts w:ascii="宋体" w:hAnsi="宋体" w:hint="eastAsia"/>
          <w:szCs w:val="21"/>
        </w:rPr>
        <w:t>中关村储能产业技术联盟、</w:t>
      </w:r>
      <w:r w:rsidR="0065736A">
        <w:rPr>
          <w:rFonts w:ascii="宋体" w:hAnsi="宋体" w:hint="eastAsia"/>
          <w:szCs w:val="21"/>
        </w:rPr>
        <w:t>广东省新能源汽车产业协会、</w:t>
      </w:r>
      <w:r w:rsidR="0065736A" w:rsidRPr="00D87AAD">
        <w:rPr>
          <w:rFonts w:ascii="宋体" w:hAnsi="宋体" w:hint="eastAsia"/>
          <w:szCs w:val="21"/>
        </w:rPr>
        <w:t>浙江省电动汽车行业协会</w:t>
      </w:r>
      <w:r w:rsidR="0065736A">
        <w:rPr>
          <w:rFonts w:ascii="宋体" w:hAnsi="宋体" w:hint="eastAsia"/>
          <w:szCs w:val="21"/>
        </w:rPr>
        <w:t>、韩国电池工业协会、日中经济贸易中心等；</w:t>
      </w:r>
    </w:p>
    <w:p w:rsidR="0065736A" w:rsidRDefault="00311BDF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A2665E">
        <w:rPr>
          <w:rFonts w:ascii="宋体" w:hAnsi="宋体" w:hint="eastAsia"/>
          <w:b/>
          <w:szCs w:val="21"/>
        </w:rPr>
        <w:t>8</w:t>
      </w:r>
      <w:r w:rsidR="0065736A" w:rsidRPr="00A2665E">
        <w:rPr>
          <w:rFonts w:ascii="宋体" w:hAnsi="宋体" w:hint="eastAsia"/>
          <w:b/>
          <w:szCs w:val="21"/>
        </w:rPr>
        <w:t>）科研单位：</w:t>
      </w:r>
      <w:r w:rsidR="0065736A">
        <w:rPr>
          <w:rFonts w:ascii="宋体" w:hAnsi="宋体" w:hint="eastAsia"/>
          <w:szCs w:val="21"/>
        </w:rPr>
        <w:t>韩国全南大学、东华大学、复旦大学、上海交通大学、华东理工大学、同济大学、上海工程技术大学、国家能源分布式能源技术研发实验中心等</w:t>
      </w:r>
      <w:r w:rsidR="005F2654">
        <w:rPr>
          <w:rFonts w:ascii="宋体" w:hAnsi="宋体" w:hint="eastAsia"/>
          <w:szCs w:val="21"/>
        </w:rPr>
        <w:t>；</w:t>
      </w:r>
    </w:p>
    <w:p w:rsidR="005F2654" w:rsidRDefault="005F2654" w:rsidP="00554D6F">
      <w:pPr>
        <w:spacing w:after="100" w:afterAutospacing="1" w:line="324" w:lineRule="auto"/>
        <w:ind w:firstLine="420"/>
        <w:rPr>
          <w:rFonts w:ascii="宋体" w:hAnsi="宋体"/>
          <w:szCs w:val="21"/>
        </w:rPr>
      </w:pPr>
      <w:r w:rsidRPr="00DE0D29">
        <w:rPr>
          <w:rFonts w:ascii="宋体" w:hAnsi="宋体" w:hint="eastAsia"/>
          <w:b/>
          <w:szCs w:val="21"/>
        </w:rPr>
        <w:t>9）投资机构：</w:t>
      </w:r>
      <w:r w:rsidR="00DE0D29" w:rsidRPr="00DE0D29">
        <w:rPr>
          <w:rFonts w:ascii="宋体" w:hAnsi="宋体" w:hint="eastAsia"/>
          <w:szCs w:val="21"/>
        </w:rPr>
        <w:t>辰韬资本</w:t>
      </w:r>
      <w:r w:rsidR="00DE0D29">
        <w:rPr>
          <w:rFonts w:ascii="宋体" w:hAnsi="宋体" w:hint="eastAsia"/>
          <w:szCs w:val="21"/>
        </w:rPr>
        <w:t>、</w:t>
      </w:r>
      <w:r w:rsidR="00DE0D29" w:rsidRPr="00DE0D29">
        <w:rPr>
          <w:rFonts w:ascii="宋体" w:hAnsi="宋体" w:hint="eastAsia"/>
          <w:szCs w:val="21"/>
        </w:rPr>
        <w:t>虢盛投资、中兵广发</w:t>
      </w:r>
      <w:r w:rsidR="00657527">
        <w:rPr>
          <w:rFonts w:ascii="宋体" w:hAnsi="宋体" w:hint="eastAsia"/>
          <w:szCs w:val="21"/>
        </w:rPr>
        <w:t>等。</w:t>
      </w:r>
    </w:p>
    <w:p w:rsidR="00554D6F" w:rsidRPr="00554D6F" w:rsidRDefault="00554D6F" w:rsidP="002D36F5">
      <w:pPr>
        <w:pStyle w:val="a9"/>
        <w:numPr>
          <w:ilvl w:val="0"/>
          <w:numId w:val="2"/>
        </w:numPr>
        <w:spacing w:afterLines="25" w:line="324" w:lineRule="auto"/>
        <w:ind w:firstLineChars="0"/>
        <w:rPr>
          <w:rFonts w:ascii="黑体" w:eastAsia="黑体"/>
          <w:b/>
          <w:sz w:val="28"/>
          <w:szCs w:val="28"/>
        </w:rPr>
      </w:pPr>
      <w:r w:rsidRPr="00554D6F">
        <w:rPr>
          <w:rFonts w:ascii="黑体" w:eastAsia="黑体" w:hint="eastAsia"/>
          <w:b/>
          <w:color w:val="00B050"/>
          <w:sz w:val="28"/>
          <w:szCs w:val="28"/>
        </w:rPr>
        <w:t>媒体推广</w:t>
      </w:r>
      <w:r w:rsidRPr="00554D6F">
        <w:rPr>
          <w:rFonts w:ascii="黑体" w:eastAsia="黑体" w:hint="eastAsia"/>
          <w:b/>
          <w:sz w:val="28"/>
          <w:szCs w:val="28"/>
        </w:rPr>
        <w:t xml:space="preserve"> Media Promotion</w:t>
      </w:r>
    </w:p>
    <w:p w:rsidR="0002106E" w:rsidRDefault="00351A06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大会组委会非常注重对展商</w:t>
      </w:r>
      <w:r w:rsidRPr="00F81219">
        <w:rPr>
          <w:rFonts w:ascii="宋体" w:hAnsi="宋体" w:hint="eastAsia"/>
          <w:szCs w:val="21"/>
        </w:rPr>
        <w:t>品牌的塑造和推广，</w:t>
      </w:r>
      <w:r>
        <w:rPr>
          <w:rFonts w:ascii="宋体" w:hAnsi="宋体" w:hint="eastAsia"/>
          <w:szCs w:val="21"/>
        </w:rPr>
        <w:t>每年都</w:t>
      </w:r>
      <w:r w:rsidR="0002106E">
        <w:rPr>
          <w:rFonts w:ascii="宋体" w:hAnsi="宋体" w:hint="eastAsia"/>
          <w:szCs w:val="21"/>
        </w:rPr>
        <w:t>通过四大媒体集群及强大的自媒体矩阵，</w:t>
      </w:r>
      <w:r w:rsidR="0002106E" w:rsidRPr="00F81219">
        <w:rPr>
          <w:rFonts w:ascii="宋体" w:hAnsi="宋体" w:hint="eastAsia"/>
          <w:szCs w:val="21"/>
        </w:rPr>
        <w:t>进行全方位、多角度、立体化报道</w:t>
      </w:r>
      <w:r w:rsidR="0002106E">
        <w:rPr>
          <w:rFonts w:ascii="宋体" w:hAnsi="宋体" w:hint="eastAsia"/>
          <w:szCs w:val="21"/>
        </w:rPr>
        <w:t>，致力于广泛传播参展企业的品牌形象</w:t>
      </w:r>
      <w:r w:rsidR="0002106E" w:rsidRPr="0051749E">
        <w:rPr>
          <w:rFonts w:ascii="宋体" w:hAnsi="宋体" w:hint="eastAsia"/>
          <w:szCs w:val="21"/>
        </w:rPr>
        <w:t>。</w:t>
      </w:r>
    </w:p>
    <w:p w:rsidR="0002106E" w:rsidRPr="0002106E" w:rsidRDefault="0002106E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02106E">
        <w:rPr>
          <w:rFonts w:ascii="宋体" w:hAnsi="宋体" w:hint="eastAsia"/>
          <w:b/>
          <w:szCs w:val="21"/>
        </w:rPr>
        <w:t>1）</w:t>
      </w:r>
      <w:r w:rsidR="00121030" w:rsidRPr="0002106E">
        <w:rPr>
          <w:rFonts w:ascii="宋体" w:hAnsi="宋体" w:hint="eastAsia"/>
          <w:b/>
          <w:bCs/>
          <w:szCs w:val="21"/>
        </w:rPr>
        <w:t>中央级媒体</w:t>
      </w:r>
      <w:r w:rsidRPr="0002106E">
        <w:rPr>
          <w:rFonts w:ascii="宋体" w:hAnsi="宋体" w:hint="eastAsia"/>
          <w:bCs/>
          <w:szCs w:val="21"/>
        </w:rPr>
        <w:t>：</w:t>
      </w:r>
      <w:r w:rsidRPr="0002106E">
        <w:rPr>
          <w:rFonts w:ascii="宋体" w:hAnsi="宋体" w:hint="eastAsia"/>
          <w:szCs w:val="21"/>
        </w:rPr>
        <w:t>新华社、</w:t>
      </w:r>
      <w:r w:rsidR="00866718">
        <w:rPr>
          <w:rFonts w:ascii="宋体" w:hAnsi="宋体" w:hint="eastAsia"/>
          <w:szCs w:val="21"/>
        </w:rPr>
        <w:t>中新社、</w:t>
      </w:r>
      <w:r w:rsidRPr="0002106E">
        <w:rPr>
          <w:rFonts w:ascii="宋体" w:hAnsi="宋体" w:hint="eastAsia"/>
          <w:szCs w:val="21"/>
        </w:rPr>
        <w:t>中央电视台、中国日报、中国经营报</w:t>
      </w:r>
      <w:r w:rsidR="00866718">
        <w:rPr>
          <w:rFonts w:ascii="宋体" w:hAnsi="宋体" w:hint="eastAsia"/>
          <w:szCs w:val="21"/>
        </w:rPr>
        <w:t>、中国能源报</w:t>
      </w:r>
      <w:r w:rsidRPr="0002106E">
        <w:rPr>
          <w:rFonts w:ascii="宋体" w:hAnsi="宋体" w:hint="eastAsia"/>
          <w:szCs w:val="21"/>
        </w:rPr>
        <w:t>等</w:t>
      </w:r>
      <w:r>
        <w:rPr>
          <w:rFonts w:ascii="宋体" w:hAnsi="宋体" w:hint="eastAsia"/>
          <w:szCs w:val="21"/>
        </w:rPr>
        <w:t>；</w:t>
      </w:r>
      <w:r w:rsidRPr="0002106E">
        <w:rPr>
          <w:rFonts w:ascii="宋体" w:hAnsi="宋体" w:hint="eastAsia"/>
          <w:szCs w:val="21"/>
        </w:rPr>
        <w:t xml:space="preserve"> </w:t>
      </w:r>
    </w:p>
    <w:p w:rsidR="0002106E" w:rsidRPr="0002106E" w:rsidRDefault="0002106E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02106E">
        <w:rPr>
          <w:rFonts w:ascii="宋体" w:hAnsi="宋体" w:hint="eastAsia"/>
          <w:b/>
          <w:szCs w:val="21"/>
        </w:rPr>
        <w:t>2）</w:t>
      </w:r>
      <w:r w:rsidR="00121030" w:rsidRPr="0002106E">
        <w:rPr>
          <w:rFonts w:ascii="宋体" w:hAnsi="宋体" w:hint="eastAsia"/>
          <w:b/>
          <w:bCs/>
          <w:szCs w:val="21"/>
        </w:rPr>
        <w:t>主流财经媒体</w:t>
      </w:r>
      <w:r>
        <w:rPr>
          <w:rFonts w:ascii="宋体" w:hAnsi="宋体" w:hint="eastAsia"/>
          <w:szCs w:val="21"/>
        </w:rPr>
        <w:t>：</w:t>
      </w:r>
      <w:r w:rsidRPr="0002106E">
        <w:rPr>
          <w:rFonts w:ascii="宋体" w:hAnsi="宋体" w:hint="eastAsia"/>
          <w:szCs w:val="21"/>
        </w:rPr>
        <w:t>中国证券报、上海证券报、证券时报</w:t>
      </w:r>
      <w:r w:rsidR="00866718">
        <w:rPr>
          <w:rFonts w:ascii="宋体" w:hAnsi="宋体" w:hint="eastAsia"/>
          <w:szCs w:val="21"/>
        </w:rPr>
        <w:t>、第一财经日报、每日经济新闻</w:t>
      </w:r>
      <w:r w:rsidRPr="0002106E">
        <w:rPr>
          <w:rFonts w:ascii="宋体" w:hAnsi="宋体" w:hint="eastAsia"/>
          <w:szCs w:val="21"/>
        </w:rPr>
        <w:t>等</w:t>
      </w:r>
      <w:r>
        <w:rPr>
          <w:rFonts w:ascii="宋体" w:hAnsi="宋体" w:hint="eastAsia"/>
          <w:szCs w:val="21"/>
        </w:rPr>
        <w:t>；</w:t>
      </w:r>
      <w:r w:rsidRPr="0002106E">
        <w:rPr>
          <w:rFonts w:ascii="宋体" w:hAnsi="宋体" w:hint="eastAsia"/>
          <w:szCs w:val="21"/>
        </w:rPr>
        <w:t xml:space="preserve"> </w:t>
      </w:r>
    </w:p>
    <w:p w:rsidR="0002106E" w:rsidRPr="0002106E" w:rsidRDefault="0002106E" w:rsidP="002D36F5">
      <w:pPr>
        <w:spacing w:afterLines="50" w:line="324" w:lineRule="auto"/>
        <w:ind w:firstLine="420"/>
        <w:rPr>
          <w:rFonts w:ascii="宋体" w:hAnsi="宋体"/>
          <w:szCs w:val="21"/>
        </w:rPr>
      </w:pPr>
      <w:r w:rsidRPr="0002106E">
        <w:rPr>
          <w:rFonts w:ascii="宋体" w:hAnsi="宋体" w:hint="eastAsia"/>
          <w:b/>
          <w:szCs w:val="21"/>
        </w:rPr>
        <w:t>3）</w:t>
      </w:r>
      <w:r w:rsidR="00121030" w:rsidRPr="0002106E">
        <w:rPr>
          <w:rFonts w:ascii="宋体" w:hAnsi="宋体" w:hint="eastAsia"/>
          <w:b/>
          <w:bCs/>
          <w:szCs w:val="21"/>
        </w:rPr>
        <w:t>知名门户网站</w:t>
      </w:r>
      <w:r>
        <w:rPr>
          <w:rFonts w:ascii="宋体" w:hAnsi="宋体" w:hint="eastAsia"/>
          <w:szCs w:val="21"/>
        </w:rPr>
        <w:t>：</w:t>
      </w:r>
      <w:r w:rsidRPr="0002106E">
        <w:rPr>
          <w:rFonts w:ascii="宋体" w:hAnsi="宋体" w:hint="eastAsia"/>
          <w:szCs w:val="21"/>
        </w:rPr>
        <w:t>新浪网、凤凰网、腾讯网、搜狐网</w:t>
      </w:r>
      <w:r w:rsidR="00866718">
        <w:rPr>
          <w:rFonts w:ascii="宋体" w:hAnsi="宋体" w:hint="eastAsia"/>
          <w:szCs w:val="21"/>
        </w:rPr>
        <w:t>、网易、和讯、中国网、中华网</w:t>
      </w:r>
      <w:r w:rsidRPr="0002106E">
        <w:rPr>
          <w:rFonts w:ascii="宋体" w:hAnsi="宋体" w:hint="eastAsia"/>
          <w:szCs w:val="21"/>
        </w:rPr>
        <w:t>等</w:t>
      </w:r>
      <w:r>
        <w:rPr>
          <w:rFonts w:ascii="宋体" w:hAnsi="宋体" w:hint="eastAsia"/>
          <w:szCs w:val="21"/>
        </w:rPr>
        <w:t>；</w:t>
      </w:r>
      <w:r w:rsidRPr="0002106E">
        <w:rPr>
          <w:rFonts w:ascii="宋体" w:hAnsi="宋体" w:hint="eastAsia"/>
          <w:szCs w:val="21"/>
        </w:rPr>
        <w:t xml:space="preserve"> </w:t>
      </w:r>
    </w:p>
    <w:p w:rsidR="008E358B" w:rsidRDefault="0002106E" w:rsidP="0002106E">
      <w:pPr>
        <w:spacing w:after="100" w:afterAutospacing="1" w:line="324" w:lineRule="auto"/>
        <w:ind w:firstLine="420"/>
        <w:rPr>
          <w:rFonts w:ascii="宋体" w:hAnsi="宋体"/>
          <w:szCs w:val="21"/>
        </w:rPr>
      </w:pPr>
      <w:r w:rsidRPr="0002106E">
        <w:rPr>
          <w:rFonts w:ascii="宋体" w:hAnsi="宋体" w:hint="eastAsia"/>
          <w:b/>
          <w:szCs w:val="21"/>
        </w:rPr>
        <w:t>4）</w:t>
      </w:r>
      <w:r w:rsidR="00121030" w:rsidRPr="0002106E">
        <w:rPr>
          <w:rFonts w:ascii="宋体" w:hAnsi="宋体" w:hint="eastAsia"/>
          <w:b/>
          <w:bCs/>
          <w:szCs w:val="21"/>
        </w:rPr>
        <w:t>权威行业媒体</w:t>
      </w:r>
      <w:r>
        <w:rPr>
          <w:rFonts w:ascii="宋体" w:hAnsi="宋体" w:hint="eastAsia"/>
          <w:szCs w:val="21"/>
        </w:rPr>
        <w:t>：</w:t>
      </w:r>
      <w:r w:rsidR="00866718">
        <w:rPr>
          <w:rFonts w:ascii="宋体" w:hAnsi="宋体" w:hint="eastAsia"/>
          <w:szCs w:val="21"/>
        </w:rPr>
        <w:t>中国电力网、</w:t>
      </w:r>
      <w:r w:rsidRPr="0002106E">
        <w:rPr>
          <w:rFonts w:ascii="宋体" w:hAnsi="宋体" w:hint="eastAsia"/>
          <w:szCs w:val="21"/>
        </w:rPr>
        <w:t>新能源汽车产业网、第一电动网、</w:t>
      </w:r>
      <w:r>
        <w:rPr>
          <w:rFonts w:ascii="宋体" w:hAnsi="宋体" w:hint="eastAsia"/>
          <w:szCs w:val="21"/>
        </w:rPr>
        <w:t>电池中国网、</w:t>
      </w:r>
      <w:r w:rsidRPr="0002106E">
        <w:rPr>
          <w:rFonts w:ascii="宋体" w:hAnsi="宋体" w:hint="eastAsia"/>
          <w:szCs w:val="21"/>
        </w:rPr>
        <w:t>高工锂电网等</w:t>
      </w:r>
      <w:r w:rsidR="00DD4A8F">
        <w:rPr>
          <w:rFonts w:ascii="宋体" w:hAnsi="宋体" w:hint="eastAsia"/>
          <w:szCs w:val="21"/>
        </w:rPr>
        <w:t>。</w:t>
      </w:r>
    </w:p>
    <w:p w:rsidR="0002106E" w:rsidRPr="008E358B" w:rsidRDefault="008E358B" w:rsidP="002D36F5">
      <w:pPr>
        <w:pStyle w:val="a9"/>
        <w:numPr>
          <w:ilvl w:val="0"/>
          <w:numId w:val="2"/>
        </w:numPr>
        <w:spacing w:afterLines="50" w:line="324" w:lineRule="auto"/>
        <w:ind w:firstLineChars="0"/>
        <w:rPr>
          <w:rFonts w:ascii="黑体" w:eastAsia="黑体"/>
          <w:b/>
          <w:sz w:val="28"/>
          <w:szCs w:val="28"/>
        </w:rPr>
      </w:pPr>
      <w:r w:rsidRPr="008E358B">
        <w:rPr>
          <w:rFonts w:ascii="黑体" w:eastAsia="黑体" w:hint="eastAsia"/>
          <w:b/>
          <w:color w:val="00B050"/>
          <w:sz w:val="28"/>
          <w:szCs w:val="28"/>
        </w:rPr>
        <w:t>展品范围</w:t>
      </w:r>
      <w:r w:rsidRPr="008E358B">
        <w:rPr>
          <w:rFonts w:ascii="黑体" w:eastAsia="黑体" w:hint="eastAsia"/>
          <w:b/>
          <w:sz w:val="28"/>
          <w:szCs w:val="28"/>
        </w:rPr>
        <w:t xml:space="preserve"> Exhibits Profile</w:t>
      </w:r>
      <w:r w:rsidR="0002106E" w:rsidRPr="008E358B">
        <w:rPr>
          <w:rFonts w:ascii="黑体" w:eastAsia="黑体" w:hint="eastAsia"/>
          <w:b/>
          <w:sz w:val="28"/>
          <w:szCs w:val="28"/>
        </w:rPr>
        <w:t xml:space="preserve"> </w:t>
      </w:r>
    </w:p>
    <w:p w:rsidR="008E358B" w:rsidRPr="008E358B" w:rsidRDefault="008E358B" w:rsidP="008E358B">
      <w:pPr>
        <w:pStyle w:val="a9"/>
        <w:spacing w:after="50" w:line="324" w:lineRule="auto"/>
        <w:ind w:left="420" w:firstLineChars="0" w:firstLine="0"/>
        <w:rPr>
          <w:rFonts w:ascii="宋体" w:hAnsi="宋体"/>
          <w:szCs w:val="21"/>
        </w:rPr>
      </w:pPr>
      <w:r w:rsidRPr="008E358B">
        <w:rPr>
          <w:rFonts w:ascii="宋体" w:hAnsi="宋体" w:hint="eastAsia"/>
          <w:szCs w:val="21"/>
        </w:rPr>
        <w:t>1）各类型锂离子电池、聚合物锂电池</w:t>
      </w:r>
      <w:r w:rsidR="003219CC">
        <w:rPr>
          <w:rFonts w:ascii="宋体" w:hAnsi="宋体" w:hint="eastAsia"/>
          <w:szCs w:val="21"/>
        </w:rPr>
        <w:t>、石墨烯电池</w:t>
      </w:r>
      <w:r w:rsidRPr="008E358B">
        <w:rPr>
          <w:rFonts w:ascii="宋体" w:hAnsi="宋体" w:hint="eastAsia"/>
          <w:szCs w:val="21"/>
        </w:rPr>
        <w:t>、动力电池</w:t>
      </w:r>
      <w:r w:rsidR="00985FFF">
        <w:rPr>
          <w:rFonts w:ascii="宋体" w:hAnsi="宋体" w:hint="eastAsia"/>
          <w:szCs w:val="21"/>
        </w:rPr>
        <w:t>模组</w:t>
      </w:r>
      <w:r w:rsidR="003219CC">
        <w:rPr>
          <w:rFonts w:ascii="宋体" w:hAnsi="宋体" w:hint="eastAsia"/>
          <w:szCs w:val="21"/>
        </w:rPr>
        <w:t>与PACK</w:t>
      </w:r>
      <w:r w:rsidRPr="008E358B">
        <w:rPr>
          <w:rFonts w:ascii="宋体" w:hAnsi="宋体" w:hint="eastAsia"/>
          <w:szCs w:val="21"/>
        </w:rPr>
        <w:t>等；</w:t>
      </w:r>
    </w:p>
    <w:p w:rsidR="008E358B" w:rsidRPr="008E358B" w:rsidRDefault="008E358B" w:rsidP="008E358B">
      <w:pPr>
        <w:pStyle w:val="a9"/>
        <w:spacing w:after="50" w:line="324" w:lineRule="auto"/>
        <w:ind w:left="420" w:firstLineChars="0" w:firstLine="0"/>
        <w:rPr>
          <w:rFonts w:ascii="宋体" w:hAnsi="宋体"/>
          <w:szCs w:val="21"/>
        </w:rPr>
      </w:pPr>
      <w:r w:rsidRPr="008E358B">
        <w:rPr>
          <w:rFonts w:ascii="宋体" w:hAnsi="宋体" w:hint="eastAsia"/>
          <w:szCs w:val="21"/>
        </w:rPr>
        <w:t>2）正极材料、负极材料、电解液、</w:t>
      </w:r>
      <w:r w:rsidR="00985FFF">
        <w:rPr>
          <w:rFonts w:ascii="宋体" w:hAnsi="宋体" w:hint="eastAsia"/>
          <w:szCs w:val="21"/>
        </w:rPr>
        <w:t>电池</w:t>
      </w:r>
      <w:r w:rsidRPr="008E358B">
        <w:rPr>
          <w:rFonts w:ascii="宋体" w:hAnsi="宋体" w:hint="eastAsia"/>
          <w:szCs w:val="21"/>
        </w:rPr>
        <w:t>隔膜</w:t>
      </w:r>
      <w:r w:rsidR="003219CC">
        <w:rPr>
          <w:rFonts w:ascii="宋体" w:hAnsi="宋体" w:hint="eastAsia"/>
          <w:szCs w:val="21"/>
        </w:rPr>
        <w:t>、石墨烯材料</w:t>
      </w:r>
      <w:r w:rsidRPr="008E358B">
        <w:rPr>
          <w:rFonts w:ascii="宋体" w:hAnsi="宋体" w:hint="eastAsia"/>
          <w:szCs w:val="21"/>
        </w:rPr>
        <w:t>等</w:t>
      </w:r>
      <w:r w:rsidR="00F323D1" w:rsidRPr="008E358B">
        <w:rPr>
          <w:rFonts w:ascii="宋体" w:hAnsi="宋体" w:hint="eastAsia"/>
          <w:szCs w:val="21"/>
        </w:rPr>
        <w:t>电池</w:t>
      </w:r>
      <w:r w:rsidR="00F323D1">
        <w:rPr>
          <w:rFonts w:ascii="宋体" w:hAnsi="宋体" w:hint="eastAsia"/>
          <w:szCs w:val="21"/>
        </w:rPr>
        <w:t>相关</w:t>
      </w:r>
      <w:r w:rsidR="00F323D1" w:rsidRPr="008E358B">
        <w:rPr>
          <w:rFonts w:ascii="宋体" w:hAnsi="宋体" w:hint="eastAsia"/>
          <w:szCs w:val="21"/>
        </w:rPr>
        <w:t>材料</w:t>
      </w:r>
      <w:r w:rsidRPr="008E358B">
        <w:rPr>
          <w:rFonts w:ascii="宋体" w:hAnsi="宋体" w:hint="eastAsia"/>
          <w:szCs w:val="21"/>
        </w:rPr>
        <w:t xml:space="preserve">； </w:t>
      </w:r>
    </w:p>
    <w:p w:rsidR="00985FFF" w:rsidRPr="000A2D56" w:rsidRDefault="008E358B" w:rsidP="000A2D56">
      <w:pPr>
        <w:spacing w:after="50" w:line="324" w:lineRule="auto"/>
        <w:ind w:firstLine="420"/>
        <w:rPr>
          <w:rFonts w:ascii="宋体" w:hAnsi="宋体"/>
          <w:szCs w:val="21"/>
        </w:rPr>
      </w:pPr>
      <w:r w:rsidRPr="000A2D56">
        <w:rPr>
          <w:rFonts w:ascii="宋体" w:hAnsi="宋体" w:hint="eastAsia"/>
          <w:szCs w:val="21"/>
        </w:rPr>
        <w:t>3）</w:t>
      </w:r>
      <w:r w:rsidR="00985FFF" w:rsidRPr="000A2D56">
        <w:rPr>
          <w:rFonts w:ascii="宋体" w:hAnsi="宋体" w:hint="eastAsia"/>
          <w:szCs w:val="21"/>
        </w:rPr>
        <w:t>锂电池用搅拌、涂布、对辊、分条、制片、卷绕、装配、烘烤、入壳、</w:t>
      </w:r>
      <w:r w:rsidR="003219CC" w:rsidRPr="000A2D56">
        <w:rPr>
          <w:rFonts w:ascii="宋体" w:hAnsi="宋体" w:hint="eastAsia"/>
          <w:szCs w:val="21"/>
        </w:rPr>
        <w:t>除湿、注液、封口、焊接、化成等工序相关设备、测试仪器及</w:t>
      </w:r>
      <w:r w:rsidR="00E262DF" w:rsidRPr="000A2D56">
        <w:rPr>
          <w:rFonts w:ascii="宋体" w:hAnsi="宋体" w:hint="eastAsia"/>
          <w:szCs w:val="21"/>
        </w:rPr>
        <w:t>零配</w:t>
      </w:r>
      <w:r w:rsidR="003219CC" w:rsidRPr="000A2D56">
        <w:rPr>
          <w:rFonts w:ascii="宋体" w:hAnsi="宋体" w:hint="eastAsia"/>
          <w:szCs w:val="21"/>
        </w:rPr>
        <w:t>件；</w:t>
      </w:r>
    </w:p>
    <w:p w:rsidR="00E262DF" w:rsidRDefault="008E358B" w:rsidP="008E358B">
      <w:pPr>
        <w:pStyle w:val="a9"/>
        <w:spacing w:after="50" w:line="324" w:lineRule="auto"/>
        <w:ind w:left="420" w:firstLineChars="0" w:firstLine="0"/>
        <w:rPr>
          <w:rFonts w:ascii="宋体" w:hAnsi="宋体"/>
          <w:szCs w:val="21"/>
        </w:rPr>
      </w:pPr>
      <w:r w:rsidRPr="008E358B">
        <w:rPr>
          <w:rFonts w:ascii="宋体" w:hAnsi="宋体" w:hint="eastAsia"/>
          <w:szCs w:val="21"/>
        </w:rPr>
        <w:t>4）</w:t>
      </w:r>
      <w:r w:rsidR="00E262DF">
        <w:rPr>
          <w:rFonts w:ascii="宋体" w:hAnsi="宋体" w:hint="eastAsia"/>
          <w:szCs w:val="21"/>
        </w:rPr>
        <w:t>电池外壳、极耳、盖帽、连接线、电池监控/灭火装置、电池零配件加工设备等；</w:t>
      </w:r>
    </w:p>
    <w:p w:rsidR="008E358B" w:rsidRDefault="00E262DF" w:rsidP="00E06278">
      <w:pPr>
        <w:pStyle w:val="a9"/>
        <w:spacing w:after="100" w:afterAutospacing="1" w:line="324" w:lineRule="auto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5）</w:t>
      </w:r>
      <w:r w:rsidR="008E358B" w:rsidRPr="008E358B">
        <w:rPr>
          <w:rFonts w:ascii="宋体" w:hAnsi="宋体" w:hint="eastAsia"/>
          <w:szCs w:val="21"/>
        </w:rPr>
        <w:t>锂电池环保设备、</w:t>
      </w:r>
      <w:r w:rsidR="003219CC">
        <w:rPr>
          <w:rFonts w:ascii="宋体" w:hAnsi="宋体" w:hint="eastAsia"/>
          <w:szCs w:val="21"/>
        </w:rPr>
        <w:t>梯次利用、回收处理技术等。</w:t>
      </w:r>
    </w:p>
    <w:p w:rsidR="00F323D1" w:rsidRPr="00E06278" w:rsidRDefault="00E06278" w:rsidP="00E06278">
      <w:pPr>
        <w:pStyle w:val="a9"/>
        <w:numPr>
          <w:ilvl w:val="0"/>
          <w:numId w:val="2"/>
        </w:numPr>
        <w:spacing w:after="50" w:line="324" w:lineRule="auto"/>
        <w:ind w:firstLineChars="0"/>
        <w:rPr>
          <w:rFonts w:ascii="黑体" w:eastAsia="黑体"/>
          <w:b/>
          <w:sz w:val="28"/>
          <w:szCs w:val="28"/>
        </w:rPr>
      </w:pPr>
      <w:r w:rsidRPr="00E06278">
        <w:rPr>
          <w:rFonts w:ascii="黑体" w:eastAsia="黑体" w:hint="eastAsia"/>
          <w:b/>
          <w:color w:val="00B050"/>
          <w:sz w:val="28"/>
          <w:szCs w:val="28"/>
        </w:rPr>
        <w:t>参展费用</w:t>
      </w:r>
      <w:r w:rsidRPr="00E06278">
        <w:rPr>
          <w:rFonts w:ascii="黑体" w:eastAsia="黑体" w:hint="eastAsia"/>
          <w:b/>
          <w:sz w:val="28"/>
          <w:szCs w:val="28"/>
        </w:rPr>
        <w:t xml:space="preserve"> Exhibition Fee</w:t>
      </w:r>
    </w:p>
    <w:p w:rsidR="0002106E" w:rsidRDefault="00CC59C8" w:rsidP="008E358B">
      <w:pPr>
        <w:pStyle w:val="a9"/>
        <w:spacing w:after="50" w:line="324" w:lineRule="auto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1）国内企业：光地</w:t>
      </w:r>
      <w:r w:rsidRPr="00CC59C8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,</w:t>
      </w:r>
      <w:r w:rsidRPr="00CC59C8">
        <w:rPr>
          <w:rFonts w:ascii="宋体" w:hAnsi="宋体" w:hint="eastAsia"/>
          <w:szCs w:val="21"/>
        </w:rPr>
        <w:t>200元</w:t>
      </w:r>
      <w:r w:rsidRPr="00CC59C8">
        <w:rPr>
          <w:rFonts w:ascii="宋体" w:hAnsi="宋体"/>
          <w:szCs w:val="21"/>
        </w:rPr>
        <w:t>/</w:t>
      </w:r>
      <w:r w:rsidRPr="00CC59C8">
        <w:rPr>
          <w:rFonts w:ascii="宋体" w:hAnsi="宋体" w:hint="eastAsia"/>
          <w:szCs w:val="21"/>
        </w:rPr>
        <w:t>㎡</w:t>
      </w:r>
      <w:r w:rsidRPr="00CC59C8">
        <w:rPr>
          <w:rFonts w:ascii="宋体" w:hAnsi="宋体"/>
          <w:szCs w:val="21"/>
        </w:rPr>
        <w:t>/</w:t>
      </w:r>
      <w:r w:rsidRPr="00CC59C8">
        <w:rPr>
          <w:rFonts w:ascii="宋体" w:hAnsi="宋体" w:hint="eastAsia"/>
          <w:szCs w:val="21"/>
        </w:rPr>
        <w:t>展期</w:t>
      </w:r>
      <w:r>
        <w:rPr>
          <w:rFonts w:ascii="宋体" w:hAnsi="宋体" w:hint="eastAsia"/>
          <w:szCs w:val="21"/>
        </w:rPr>
        <w:t>；标摊</w:t>
      </w:r>
      <w:r w:rsidRPr="00CC59C8"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,0</w:t>
      </w:r>
      <w:r w:rsidRPr="00CC59C8">
        <w:rPr>
          <w:rFonts w:ascii="宋体" w:hAnsi="宋体" w:hint="eastAsia"/>
          <w:szCs w:val="21"/>
        </w:rPr>
        <w:t>00元</w:t>
      </w:r>
      <w:r w:rsidRPr="00CC59C8"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个</w:t>
      </w:r>
      <w:r w:rsidRPr="00CC59C8">
        <w:rPr>
          <w:rFonts w:ascii="宋体" w:hAnsi="宋体"/>
          <w:szCs w:val="21"/>
        </w:rPr>
        <w:t>/</w:t>
      </w:r>
      <w:r w:rsidRPr="00CC59C8">
        <w:rPr>
          <w:rFonts w:ascii="宋体" w:hAnsi="宋体" w:hint="eastAsia"/>
          <w:szCs w:val="21"/>
        </w:rPr>
        <w:t>展期</w:t>
      </w:r>
    </w:p>
    <w:p w:rsidR="0002106E" w:rsidRDefault="00CC59C8" w:rsidP="002D36F5">
      <w:pPr>
        <w:spacing w:afterLines="25"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2）</w:t>
      </w:r>
      <w:r>
        <w:rPr>
          <w:rFonts w:ascii="宋体" w:hAnsi="宋体" w:cs="宋体" w:hint="eastAsia"/>
          <w:kern w:val="0"/>
          <w:szCs w:val="21"/>
        </w:rPr>
        <w:t>外商</w:t>
      </w:r>
      <w:r w:rsidRPr="00C02F2B">
        <w:rPr>
          <w:rFonts w:ascii="宋体" w:hAnsi="宋体" w:cs="宋体" w:hint="eastAsia"/>
          <w:kern w:val="0"/>
          <w:szCs w:val="21"/>
        </w:rPr>
        <w:t>合资</w:t>
      </w:r>
      <w:r>
        <w:rPr>
          <w:rFonts w:ascii="宋体" w:hAnsi="宋体" w:cs="宋体" w:hint="eastAsia"/>
          <w:kern w:val="0"/>
          <w:szCs w:val="21"/>
        </w:rPr>
        <w:t>：</w:t>
      </w:r>
      <w:r w:rsidR="001A502A">
        <w:rPr>
          <w:rFonts w:ascii="宋体" w:hAnsi="宋体" w:hint="eastAsia"/>
          <w:szCs w:val="21"/>
        </w:rPr>
        <w:t>光地2,0</w:t>
      </w:r>
      <w:r w:rsidR="001A502A" w:rsidRPr="00CC59C8">
        <w:rPr>
          <w:rFonts w:ascii="宋体" w:hAnsi="宋体" w:hint="eastAsia"/>
          <w:szCs w:val="21"/>
        </w:rPr>
        <w:t>00元</w:t>
      </w:r>
      <w:r w:rsidR="001A502A" w:rsidRPr="00CC59C8">
        <w:rPr>
          <w:rFonts w:ascii="宋体" w:hAnsi="宋体"/>
          <w:szCs w:val="21"/>
        </w:rPr>
        <w:t>/</w:t>
      </w:r>
      <w:r w:rsidR="001A502A" w:rsidRPr="00CC59C8">
        <w:rPr>
          <w:rFonts w:ascii="宋体" w:hAnsi="宋体" w:hint="eastAsia"/>
          <w:szCs w:val="21"/>
        </w:rPr>
        <w:t>㎡</w:t>
      </w:r>
      <w:r w:rsidR="001A502A" w:rsidRPr="00CC59C8">
        <w:rPr>
          <w:rFonts w:ascii="宋体" w:hAnsi="宋体"/>
          <w:szCs w:val="21"/>
        </w:rPr>
        <w:t>/</w:t>
      </w:r>
      <w:r w:rsidR="001A502A" w:rsidRPr="00CC59C8">
        <w:rPr>
          <w:rFonts w:ascii="宋体" w:hAnsi="宋体" w:hint="eastAsia"/>
          <w:szCs w:val="21"/>
        </w:rPr>
        <w:t>展期</w:t>
      </w:r>
      <w:r w:rsidR="001A502A">
        <w:rPr>
          <w:rFonts w:ascii="宋体" w:hAnsi="宋体" w:hint="eastAsia"/>
          <w:szCs w:val="21"/>
        </w:rPr>
        <w:t>；标摊20,0</w:t>
      </w:r>
      <w:r w:rsidR="001A502A" w:rsidRPr="00CC59C8">
        <w:rPr>
          <w:rFonts w:ascii="宋体" w:hAnsi="宋体" w:hint="eastAsia"/>
          <w:szCs w:val="21"/>
        </w:rPr>
        <w:t>00元</w:t>
      </w:r>
      <w:r w:rsidR="001A502A" w:rsidRPr="00CC59C8">
        <w:rPr>
          <w:rFonts w:ascii="宋体" w:hAnsi="宋体"/>
          <w:szCs w:val="21"/>
        </w:rPr>
        <w:t>/</w:t>
      </w:r>
      <w:r w:rsidR="001A502A">
        <w:rPr>
          <w:rFonts w:ascii="宋体" w:hAnsi="宋体" w:hint="eastAsia"/>
          <w:szCs w:val="21"/>
        </w:rPr>
        <w:t>个</w:t>
      </w:r>
      <w:r w:rsidR="001A502A" w:rsidRPr="00CC59C8">
        <w:rPr>
          <w:rFonts w:ascii="宋体" w:hAnsi="宋体"/>
          <w:szCs w:val="21"/>
        </w:rPr>
        <w:t>/</w:t>
      </w:r>
      <w:r w:rsidR="001A502A" w:rsidRPr="00CC59C8">
        <w:rPr>
          <w:rFonts w:ascii="宋体" w:hAnsi="宋体" w:hint="eastAsia"/>
          <w:szCs w:val="21"/>
        </w:rPr>
        <w:t>展期</w:t>
      </w:r>
    </w:p>
    <w:p w:rsidR="00CC59C8" w:rsidRDefault="00CC59C8" w:rsidP="002D36F5">
      <w:pPr>
        <w:spacing w:afterLines="25" w:line="30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3）</w:t>
      </w:r>
      <w:r>
        <w:rPr>
          <w:rFonts w:ascii="宋体" w:hAnsi="宋体" w:cs="宋体" w:hint="eastAsia"/>
          <w:kern w:val="0"/>
          <w:szCs w:val="21"/>
        </w:rPr>
        <w:t>外商独</w:t>
      </w:r>
      <w:r w:rsidRPr="00C02F2B">
        <w:rPr>
          <w:rFonts w:ascii="宋体" w:hAnsi="宋体" w:cs="宋体" w:hint="eastAsia"/>
          <w:kern w:val="0"/>
          <w:szCs w:val="21"/>
        </w:rPr>
        <w:t>资</w:t>
      </w:r>
      <w:r>
        <w:rPr>
          <w:rFonts w:ascii="宋体" w:hAnsi="宋体" w:cs="宋体" w:hint="eastAsia"/>
          <w:kern w:val="0"/>
          <w:szCs w:val="21"/>
        </w:rPr>
        <w:t>：</w:t>
      </w:r>
      <w:r w:rsidR="001A502A">
        <w:rPr>
          <w:rFonts w:ascii="宋体" w:hAnsi="宋体" w:hint="eastAsia"/>
          <w:szCs w:val="21"/>
        </w:rPr>
        <w:t>光地3,0</w:t>
      </w:r>
      <w:r w:rsidR="001A502A" w:rsidRPr="00CC59C8">
        <w:rPr>
          <w:rFonts w:ascii="宋体" w:hAnsi="宋体" w:hint="eastAsia"/>
          <w:szCs w:val="21"/>
        </w:rPr>
        <w:t>00元</w:t>
      </w:r>
      <w:r w:rsidR="001A502A" w:rsidRPr="00CC59C8">
        <w:rPr>
          <w:rFonts w:ascii="宋体" w:hAnsi="宋体"/>
          <w:szCs w:val="21"/>
        </w:rPr>
        <w:t>/</w:t>
      </w:r>
      <w:r w:rsidR="001A502A" w:rsidRPr="00CC59C8">
        <w:rPr>
          <w:rFonts w:ascii="宋体" w:hAnsi="宋体" w:hint="eastAsia"/>
          <w:szCs w:val="21"/>
        </w:rPr>
        <w:t>㎡</w:t>
      </w:r>
      <w:r w:rsidR="001A502A" w:rsidRPr="00CC59C8">
        <w:rPr>
          <w:rFonts w:ascii="宋体" w:hAnsi="宋体"/>
          <w:szCs w:val="21"/>
        </w:rPr>
        <w:t>/</w:t>
      </w:r>
      <w:r w:rsidR="001A502A" w:rsidRPr="00CC59C8">
        <w:rPr>
          <w:rFonts w:ascii="宋体" w:hAnsi="宋体" w:hint="eastAsia"/>
          <w:szCs w:val="21"/>
        </w:rPr>
        <w:t>展期</w:t>
      </w:r>
      <w:r w:rsidR="001A502A">
        <w:rPr>
          <w:rFonts w:ascii="宋体" w:hAnsi="宋体" w:hint="eastAsia"/>
          <w:szCs w:val="21"/>
        </w:rPr>
        <w:t>；标摊30,0</w:t>
      </w:r>
      <w:r w:rsidR="001A502A" w:rsidRPr="00CC59C8">
        <w:rPr>
          <w:rFonts w:ascii="宋体" w:hAnsi="宋体" w:hint="eastAsia"/>
          <w:szCs w:val="21"/>
        </w:rPr>
        <w:t>00元</w:t>
      </w:r>
      <w:r w:rsidR="001A502A" w:rsidRPr="00CC59C8">
        <w:rPr>
          <w:rFonts w:ascii="宋体" w:hAnsi="宋体"/>
          <w:szCs w:val="21"/>
        </w:rPr>
        <w:t>/</w:t>
      </w:r>
      <w:r w:rsidR="001A502A">
        <w:rPr>
          <w:rFonts w:ascii="宋体" w:hAnsi="宋体" w:hint="eastAsia"/>
          <w:szCs w:val="21"/>
        </w:rPr>
        <w:t>个</w:t>
      </w:r>
      <w:r w:rsidR="001A502A" w:rsidRPr="00CC59C8">
        <w:rPr>
          <w:rFonts w:ascii="宋体" w:hAnsi="宋体"/>
          <w:szCs w:val="21"/>
        </w:rPr>
        <w:t>/</w:t>
      </w:r>
      <w:r w:rsidR="001A502A" w:rsidRPr="00CC59C8">
        <w:rPr>
          <w:rFonts w:ascii="宋体" w:hAnsi="宋体" w:hint="eastAsia"/>
          <w:szCs w:val="21"/>
        </w:rPr>
        <w:t>展期</w:t>
      </w:r>
    </w:p>
    <w:p w:rsidR="00CC59C8" w:rsidRDefault="00CC59C8" w:rsidP="000B5344">
      <w:pPr>
        <w:spacing w:after="100" w:afterAutospacing="1" w:line="300" w:lineRule="auto"/>
        <w:ind w:firstLine="420"/>
        <w:rPr>
          <w:rFonts w:ascii="宋体" w:hAnsi="宋体"/>
          <w:szCs w:val="21"/>
        </w:rPr>
      </w:pPr>
      <w:r w:rsidRPr="001A502A">
        <w:rPr>
          <w:rFonts w:ascii="宋体" w:hAnsi="宋体" w:hint="eastAsia"/>
          <w:b/>
          <w:szCs w:val="21"/>
        </w:rPr>
        <w:t>备注：</w:t>
      </w:r>
      <w:r w:rsidR="001A502A">
        <w:rPr>
          <w:rFonts w:ascii="宋体" w:hAnsi="宋体" w:hint="eastAsia"/>
          <w:szCs w:val="21"/>
        </w:rPr>
        <w:t>“外商”含港澳台，</w:t>
      </w:r>
      <w:r>
        <w:rPr>
          <w:rFonts w:ascii="宋体" w:hAnsi="宋体" w:hint="eastAsia"/>
          <w:szCs w:val="21"/>
        </w:rPr>
        <w:t>以上费用均以人民币结算，光地36</w:t>
      </w:r>
      <w:r w:rsidRPr="00CC59C8">
        <w:rPr>
          <w:rFonts w:ascii="宋体" w:hAnsi="宋体" w:hint="eastAsia"/>
          <w:szCs w:val="21"/>
        </w:rPr>
        <w:t>㎡</w:t>
      </w:r>
      <w:r>
        <w:rPr>
          <w:rFonts w:ascii="宋体" w:hAnsi="宋体" w:hint="eastAsia"/>
          <w:szCs w:val="21"/>
        </w:rPr>
        <w:t>起租，双开口标摊费用增加20%</w:t>
      </w:r>
      <w:r w:rsidR="001A502A">
        <w:rPr>
          <w:rFonts w:ascii="宋体" w:hAnsi="宋体" w:hint="eastAsia"/>
          <w:szCs w:val="21"/>
        </w:rPr>
        <w:t>。</w:t>
      </w:r>
    </w:p>
    <w:p w:rsidR="00012587" w:rsidRDefault="00012587" w:rsidP="006F447F">
      <w:pPr>
        <w:spacing w:line="300" w:lineRule="auto"/>
        <w:rPr>
          <w:rFonts w:ascii="Arial" w:hAnsi="宋体" w:cs="Arial"/>
          <w:sz w:val="22"/>
        </w:rPr>
      </w:pPr>
    </w:p>
    <w:p w:rsidR="0045014B" w:rsidRDefault="00012587" w:rsidP="00012587">
      <w:pPr>
        <w:spacing w:line="300" w:lineRule="auto"/>
        <w:ind w:firstLine="420"/>
        <w:rPr>
          <w:rFonts w:ascii="??" w:hAnsi="??" w:hint="eastAsia"/>
          <w:sz w:val="24"/>
        </w:rPr>
      </w:pPr>
      <w:r w:rsidRPr="00AF52B5">
        <w:rPr>
          <w:rFonts w:ascii="Arial" w:hAnsi="宋体" w:cs="Arial" w:hint="eastAsia"/>
          <w:b/>
          <w:sz w:val="22"/>
        </w:rPr>
        <w:t>大会官网：</w:t>
      </w:r>
      <w:hyperlink r:id="rId10" w:history="1">
        <w:r w:rsidRPr="00B8253E">
          <w:rPr>
            <w:rFonts w:ascii="Arial" w:hAnsi="Arial" w:cs="Arial"/>
            <w:sz w:val="22"/>
          </w:rPr>
          <w:t>www.cnibf.net</w:t>
        </w:r>
      </w:hyperlink>
    </w:p>
    <w:p w:rsidR="0045014B" w:rsidRPr="00B8253E" w:rsidRDefault="0045014B" w:rsidP="00012587">
      <w:pPr>
        <w:spacing w:line="300" w:lineRule="auto"/>
        <w:ind w:firstLine="420"/>
        <w:rPr>
          <w:sz w:val="22"/>
        </w:rPr>
      </w:pPr>
      <w:r w:rsidRPr="00AF52B5">
        <w:rPr>
          <w:rFonts w:hint="eastAsia"/>
          <w:b/>
          <w:sz w:val="22"/>
        </w:rPr>
        <w:t>组织单位：</w:t>
      </w:r>
      <w:r w:rsidRPr="00B8253E">
        <w:rPr>
          <w:rFonts w:hint="eastAsia"/>
          <w:sz w:val="22"/>
        </w:rPr>
        <w:t>广州振威国际展览有限公司</w:t>
      </w:r>
    </w:p>
    <w:p w:rsidR="0045014B" w:rsidRPr="00B8253E" w:rsidRDefault="00012587" w:rsidP="00012587">
      <w:pPr>
        <w:spacing w:line="300" w:lineRule="auto"/>
        <w:ind w:firstLine="420"/>
        <w:rPr>
          <w:rFonts w:ascii="Arial" w:hAnsi="宋体" w:cs="Arial"/>
          <w:sz w:val="22"/>
        </w:rPr>
      </w:pPr>
      <w:r w:rsidRPr="00AF52B5">
        <w:rPr>
          <w:rFonts w:ascii="Arial" w:hAnsi="宋体" w:cs="Arial" w:hint="eastAsia"/>
          <w:b/>
          <w:sz w:val="22"/>
        </w:rPr>
        <w:t>联系</w:t>
      </w:r>
      <w:r w:rsidR="0045014B" w:rsidRPr="00AF52B5">
        <w:rPr>
          <w:rFonts w:ascii="Arial" w:hAnsi="宋体" w:cs="Arial" w:hint="eastAsia"/>
          <w:b/>
          <w:sz w:val="22"/>
        </w:rPr>
        <w:t>电话：</w:t>
      </w:r>
      <w:r w:rsidR="0045014B" w:rsidRPr="00B8253E">
        <w:rPr>
          <w:rFonts w:ascii="Arial" w:hAnsi="宋体" w:cs="Arial" w:hint="eastAsia"/>
          <w:sz w:val="22"/>
        </w:rPr>
        <w:t xml:space="preserve">020-8395 3211        </w:t>
      </w:r>
    </w:p>
    <w:p w:rsidR="000F20E2" w:rsidRDefault="0045014B" w:rsidP="00012587">
      <w:pPr>
        <w:spacing w:line="300" w:lineRule="auto"/>
        <w:ind w:firstLine="420"/>
        <w:rPr>
          <w:rFonts w:ascii="??" w:hAnsi="??" w:hint="eastAsia"/>
          <w:sz w:val="24"/>
        </w:rPr>
      </w:pPr>
      <w:r w:rsidRPr="00AF52B5">
        <w:rPr>
          <w:rFonts w:ascii="Arial" w:hAnsi="宋体" w:cs="Arial" w:hint="eastAsia"/>
          <w:b/>
          <w:sz w:val="22"/>
        </w:rPr>
        <w:t>邮箱</w:t>
      </w:r>
      <w:r w:rsidR="00012587" w:rsidRPr="00AF52B5">
        <w:rPr>
          <w:rFonts w:ascii="Arial" w:hAnsi="宋体" w:cs="Arial" w:hint="eastAsia"/>
          <w:b/>
          <w:sz w:val="22"/>
        </w:rPr>
        <w:t>地址</w:t>
      </w:r>
      <w:r w:rsidRPr="00AF52B5">
        <w:rPr>
          <w:rFonts w:ascii="Arial" w:hAnsi="宋体" w:cs="Arial" w:hint="eastAsia"/>
          <w:b/>
          <w:sz w:val="22"/>
        </w:rPr>
        <w:t>：</w:t>
      </w:r>
      <w:r w:rsidRPr="00B8253E">
        <w:rPr>
          <w:rFonts w:ascii="Arial" w:hAnsi="宋体" w:cs="Arial" w:hint="eastAsia"/>
          <w:sz w:val="22"/>
        </w:rPr>
        <w:t>cnibf@zhenweiexpo.com</w:t>
      </w:r>
    </w:p>
    <w:sectPr w:rsidR="000F20E2" w:rsidSect="000F5CCF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7B" w:rsidRDefault="0069717B" w:rsidP="00D30802">
      <w:r>
        <w:separator/>
      </w:r>
    </w:p>
  </w:endnote>
  <w:endnote w:type="continuationSeparator" w:id="0">
    <w:p w:rsidR="0069717B" w:rsidRDefault="0069717B" w:rsidP="00D30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22852"/>
      <w:docPartObj>
        <w:docPartGallery w:val="Page Numbers (Bottom of Page)"/>
        <w:docPartUnique/>
      </w:docPartObj>
    </w:sdtPr>
    <w:sdtContent>
      <w:p w:rsidR="00121030" w:rsidRDefault="00052A45">
        <w:pPr>
          <w:pStyle w:val="a4"/>
          <w:jc w:val="center"/>
        </w:pPr>
        <w:fldSimple w:instr=" PAGE   \* MERGEFORMAT ">
          <w:r w:rsidR="002D36F5" w:rsidRPr="002D36F5">
            <w:rPr>
              <w:noProof/>
              <w:lang w:val="zh-CN"/>
            </w:rPr>
            <w:t>1</w:t>
          </w:r>
        </w:fldSimple>
      </w:p>
    </w:sdtContent>
  </w:sdt>
  <w:p w:rsidR="00121030" w:rsidRDefault="001210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7B" w:rsidRDefault="0069717B" w:rsidP="00D30802">
      <w:r>
        <w:separator/>
      </w:r>
    </w:p>
  </w:footnote>
  <w:footnote w:type="continuationSeparator" w:id="0">
    <w:p w:rsidR="0069717B" w:rsidRDefault="0069717B" w:rsidP="00D30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30" w:rsidRPr="00D3276B" w:rsidRDefault="00121030" w:rsidP="00F943E8">
    <w:pPr>
      <w:pStyle w:val="a3"/>
      <w:wordWrap w:val="0"/>
      <w:jc w:val="right"/>
      <w:rPr>
        <w:b/>
        <w:sz w:val="24"/>
        <w:szCs w:val="24"/>
      </w:rPr>
    </w:pPr>
    <w:r w:rsidRPr="00D3276B">
      <w:rPr>
        <w:rFonts w:hint="eastAsia"/>
        <w:b/>
        <w:sz w:val="24"/>
        <w:szCs w:val="24"/>
      </w:rPr>
      <w:t>8</w:t>
    </w:r>
    <w:r w:rsidRPr="00D3276B">
      <w:rPr>
        <w:rFonts w:hint="eastAsia"/>
        <w:b/>
        <w:sz w:val="24"/>
        <w:szCs w:val="24"/>
      </w:rPr>
      <w:t>月</w:t>
    </w:r>
    <w:r w:rsidRPr="00D3276B">
      <w:rPr>
        <w:rFonts w:hint="eastAsia"/>
        <w:b/>
        <w:sz w:val="24"/>
        <w:szCs w:val="24"/>
      </w:rPr>
      <w:t>23</w:t>
    </w:r>
    <w:r>
      <w:rPr>
        <w:rFonts w:hint="eastAsia"/>
        <w:b/>
        <w:sz w:val="24"/>
        <w:szCs w:val="24"/>
      </w:rPr>
      <w:t xml:space="preserve"> </w:t>
    </w:r>
    <w:r>
      <w:rPr>
        <w:rFonts w:hint="eastAsia"/>
        <w:b/>
        <w:sz w:val="24"/>
        <w:szCs w:val="24"/>
      </w:rPr>
      <w:t>上海</w:t>
    </w:r>
  </w:p>
  <w:p w:rsidR="00121030" w:rsidRDefault="00121030" w:rsidP="00370598">
    <w:pPr>
      <w:pStyle w:val="a3"/>
      <w:jc w:val="right"/>
    </w:pPr>
    <w:r w:rsidRPr="00D3276B">
      <w:rPr>
        <w:rFonts w:hint="eastAsia"/>
        <w:b/>
        <w:sz w:val="24"/>
        <w:szCs w:val="24"/>
      </w:rPr>
      <w:t>中国最大锂电展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F7F"/>
    <w:multiLevelType w:val="hybridMultilevel"/>
    <w:tmpl w:val="37BCAA0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A10954"/>
    <w:multiLevelType w:val="hybridMultilevel"/>
    <w:tmpl w:val="C916EE0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ED2F64"/>
    <w:multiLevelType w:val="hybridMultilevel"/>
    <w:tmpl w:val="B302C1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5BA4F29"/>
    <w:multiLevelType w:val="hybridMultilevel"/>
    <w:tmpl w:val="5DFAC152"/>
    <w:lvl w:ilvl="0" w:tplc="D7C893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CA4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034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88E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255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067D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F4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413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4C31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677E49"/>
    <w:multiLevelType w:val="hybridMultilevel"/>
    <w:tmpl w:val="F118CBC4"/>
    <w:lvl w:ilvl="0" w:tplc="C678A6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A65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BA6B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6E7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A52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6C0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CF9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4F4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4AD9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C634D5"/>
    <w:multiLevelType w:val="hybridMultilevel"/>
    <w:tmpl w:val="0E9CB1BA"/>
    <w:lvl w:ilvl="0" w:tplc="AB1606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B653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D0D1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800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E6A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8AC9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44C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E83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2D6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510F64"/>
    <w:multiLevelType w:val="hybridMultilevel"/>
    <w:tmpl w:val="3724D5DE"/>
    <w:lvl w:ilvl="0" w:tplc="548E37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92DD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ACD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2B0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4B5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CA20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684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655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208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>
      <o:colormenu v:ext="edit" fillcolor="#00b050" strokecolor="#00b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802"/>
    <w:rsid w:val="00006E4C"/>
    <w:rsid w:val="00012587"/>
    <w:rsid w:val="00016C91"/>
    <w:rsid w:val="0002106E"/>
    <w:rsid w:val="00021533"/>
    <w:rsid w:val="00043374"/>
    <w:rsid w:val="00051EB8"/>
    <w:rsid w:val="00052A45"/>
    <w:rsid w:val="00054D31"/>
    <w:rsid w:val="00061A12"/>
    <w:rsid w:val="0006638E"/>
    <w:rsid w:val="00066DC6"/>
    <w:rsid w:val="00071644"/>
    <w:rsid w:val="00080318"/>
    <w:rsid w:val="000917F6"/>
    <w:rsid w:val="000A19D8"/>
    <w:rsid w:val="000A26C4"/>
    <w:rsid w:val="000A2D56"/>
    <w:rsid w:val="000B5344"/>
    <w:rsid w:val="000C104D"/>
    <w:rsid w:val="000E22CE"/>
    <w:rsid w:val="000E367F"/>
    <w:rsid w:val="000E472F"/>
    <w:rsid w:val="000F20E2"/>
    <w:rsid w:val="000F5CCF"/>
    <w:rsid w:val="00111DBE"/>
    <w:rsid w:val="00113766"/>
    <w:rsid w:val="00121030"/>
    <w:rsid w:val="0012290D"/>
    <w:rsid w:val="001308E7"/>
    <w:rsid w:val="00130D39"/>
    <w:rsid w:val="00131868"/>
    <w:rsid w:val="00132E7C"/>
    <w:rsid w:val="00134D29"/>
    <w:rsid w:val="001524A0"/>
    <w:rsid w:val="00154819"/>
    <w:rsid w:val="00156B27"/>
    <w:rsid w:val="00166B30"/>
    <w:rsid w:val="00180BC6"/>
    <w:rsid w:val="00187AE5"/>
    <w:rsid w:val="001965C8"/>
    <w:rsid w:val="001A4E62"/>
    <w:rsid w:val="001A502A"/>
    <w:rsid w:val="001C0AB4"/>
    <w:rsid w:val="001F0997"/>
    <w:rsid w:val="001F751E"/>
    <w:rsid w:val="00200271"/>
    <w:rsid w:val="00205962"/>
    <w:rsid w:val="00236B5D"/>
    <w:rsid w:val="00237ABE"/>
    <w:rsid w:val="0024262E"/>
    <w:rsid w:val="00264E69"/>
    <w:rsid w:val="0028163B"/>
    <w:rsid w:val="002826ED"/>
    <w:rsid w:val="002855FB"/>
    <w:rsid w:val="0028691A"/>
    <w:rsid w:val="00290F52"/>
    <w:rsid w:val="002C1A6E"/>
    <w:rsid w:val="002D36F5"/>
    <w:rsid w:val="002D3C71"/>
    <w:rsid w:val="002F5ACA"/>
    <w:rsid w:val="00303613"/>
    <w:rsid w:val="0030779A"/>
    <w:rsid w:val="00311BDF"/>
    <w:rsid w:val="00314604"/>
    <w:rsid w:val="003219CC"/>
    <w:rsid w:val="003324A1"/>
    <w:rsid w:val="00333658"/>
    <w:rsid w:val="00337C24"/>
    <w:rsid w:val="00351A06"/>
    <w:rsid w:val="003652F9"/>
    <w:rsid w:val="00367724"/>
    <w:rsid w:val="00370598"/>
    <w:rsid w:val="0037247F"/>
    <w:rsid w:val="003A364D"/>
    <w:rsid w:val="003A5C52"/>
    <w:rsid w:val="003B4DBF"/>
    <w:rsid w:val="003C2090"/>
    <w:rsid w:val="00414889"/>
    <w:rsid w:val="00427B7F"/>
    <w:rsid w:val="0045014B"/>
    <w:rsid w:val="00472C34"/>
    <w:rsid w:val="004952BF"/>
    <w:rsid w:val="004A1F8A"/>
    <w:rsid w:val="004B08D9"/>
    <w:rsid w:val="004B7011"/>
    <w:rsid w:val="004C0055"/>
    <w:rsid w:val="004C2FDD"/>
    <w:rsid w:val="004D46A9"/>
    <w:rsid w:val="00511DC9"/>
    <w:rsid w:val="0052387A"/>
    <w:rsid w:val="00530A2E"/>
    <w:rsid w:val="0053105A"/>
    <w:rsid w:val="005314FA"/>
    <w:rsid w:val="00554D6F"/>
    <w:rsid w:val="00582D45"/>
    <w:rsid w:val="005A54F8"/>
    <w:rsid w:val="005B10F4"/>
    <w:rsid w:val="005B6C85"/>
    <w:rsid w:val="005D6CC7"/>
    <w:rsid w:val="005E607E"/>
    <w:rsid w:val="005F2654"/>
    <w:rsid w:val="0060623A"/>
    <w:rsid w:val="0062401D"/>
    <w:rsid w:val="00631D14"/>
    <w:rsid w:val="0065011D"/>
    <w:rsid w:val="00652CEE"/>
    <w:rsid w:val="0065736A"/>
    <w:rsid w:val="00657527"/>
    <w:rsid w:val="00672BB8"/>
    <w:rsid w:val="00673953"/>
    <w:rsid w:val="00684AA9"/>
    <w:rsid w:val="0069391F"/>
    <w:rsid w:val="006950F3"/>
    <w:rsid w:val="0069717B"/>
    <w:rsid w:val="006A60C6"/>
    <w:rsid w:val="006B0686"/>
    <w:rsid w:val="006D52DF"/>
    <w:rsid w:val="006D7664"/>
    <w:rsid w:val="006D7B61"/>
    <w:rsid w:val="006F447F"/>
    <w:rsid w:val="007127EB"/>
    <w:rsid w:val="007132D9"/>
    <w:rsid w:val="00720751"/>
    <w:rsid w:val="0072719F"/>
    <w:rsid w:val="007274E1"/>
    <w:rsid w:val="00733D2B"/>
    <w:rsid w:val="0074187E"/>
    <w:rsid w:val="00745368"/>
    <w:rsid w:val="00751C9B"/>
    <w:rsid w:val="00753880"/>
    <w:rsid w:val="00762E6B"/>
    <w:rsid w:val="00771DFC"/>
    <w:rsid w:val="00785DF5"/>
    <w:rsid w:val="0079704A"/>
    <w:rsid w:val="007C3A55"/>
    <w:rsid w:val="007D3EF6"/>
    <w:rsid w:val="007E428A"/>
    <w:rsid w:val="008116ED"/>
    <w:rsid w:val="008125AE"/>
    <w:rsid w:val="00821C03"/>
    <w:rsid w:val="00831BC5"/>
    <w:rsid w:val="00837D28"/>
    <w:rsid w:val="00856028"/>
    <w:rsid w:val="00857E12"/>
    <w:rsid w:val="00866718"/>
    <w:rsid w:val="0087597D"/>
    <w:rsid w:val="008764E1"/>
    <w:rsid w:val="00877AA4"/>
    <w:rsid w:val="00882F50"/>
    <w:rsid w:val="008947A4"/>
    <w:rsid w:val="008A23FD"/>
    <w:rsid w:val="008A4595"/>
    <w:rsid w:val="008A68CE"/>
    <w:rsid w:val="008A6C23"/>
    <w:rsid w:val="008A7B50"/>
    <w:rsid w:val="008B231A"/>
    <w:rsid w:val="008B4D60"/>
    <w:rsid w:val="008C53AD"/>
    <w:rsid w:val="008D0631"/>
    <w:rsid w:val="008E358B"/>
    <w:rsid w:val="008F7E27"/>
    <w:rsid w:val="00900D41"/>
    <w:rsid w:val="009164F5"/>
    <w:rsid w:val="00940E75"/>
    <w:rsid w:val="00951D18"/>
    <w:rsid w:val="00963B5C"/>
    <w:rsid w:val="009640AE"/>
    <w:rsid w:val="00965229"/>
    <w:rsid w:val="00966754"/>
    <w:rsid w:val="00966A26"/>
    <w:rsid w:val="00967D9F"/>
    <w:rsid w:val="00977F98"/>
    <w:rsid w:val="00985FFF"/>
    <w:rsid w:val="00990494"/>
    <w:rsid w:val="00991769"/>
    <w:rsid w:val="009967A8"/>
    <w:rsid w:val="009C397F"/>
    <w:rsid w:val="009D1255"/>
    <w:rsid w:val="009D5AFB"/>
    <w:rsid w:val="009F2FD6"/>
    <w:rsid w:val="009F68DE"/>
    <w:rsid w:val="00A03093"/>
    <w:rsid w:val="00A1480D"/>
    <w:rsid w:val="00A15C94"/>
    <w:rsid w:val="00A15ED6"/>
    <w:rsid w:val="00A2665E"/>
    <w:rsid w:val="00A527BC"/>
    <w:rsid w:val="00A6521B"/>
    <w:rsid w:val="00A80922"/>
    <w:rsid w:val="00A96C03"/>
    <w:rsid w:val="00AB219B"/>
    <w:rsid w:val="00AD023E"/>
    <w:rsid w:val="00AD4449"/>
    <w:rsid w:val="00AF52B5"/>
    <w:rsid w:val="00B02C64"/>
    <w:rsid w:val="00B16036"/>
    <w:rsid w:val="00B17B80"/>
    <w:rsid w:val="00B32149"/>
    <w:rsid w:val="00B46612"/>
    <w:rsid w:val="00B74C2F"/>
    <w:rsid w:val="00B769B7"/>
    <w:rsid w:val="00B8253E"/>
    <w:rsid w:val="00B92A30"/>
    <w:rsid w:val="00BB0B4E"/>
    <w:rsid w:val="00BB0E02"/>
    <w:rsid w:val="00BB488B"/>
    <w:rsid w:val="00BB68C9"/>
    <w:rsid w:val="00BD3294"/>
    <w:rsid w:val="00BF4D16"/>
    <w:rsid w:val="00C1415A"/>
    <w:rsid w:val="00C36A1F"/>
    <w:rsid w:val="00C40618"/>
    <w:rsid w:val="00C465B1"/>
    <w:rsid w:val="00C500B9"/>
    <w:rsid w:val="00C54A7E"/>
    <w:rsid w:val="00C622D5"/>
    <w:rsid w:val="00C6295D"/>
    <w:rsid w:val="00C7640A"/>
    <w:rsid w:val="00C82C0F"/>
    <w:rsid w:val="00C95FE1"/>
    <w:rsid w:val="00C97F1D"/>
    <w:rsid w:val="00CC59C8"/>
    <w:rsid w:val="00CD02F8"/>
    <w:rsid w:val="00CE33DC"/>
    <w:rsid w:val="00CE5672"/>
    <w:rsid w:val="00CF4648"/>
    <w:rsid w:val="00D1654B"/>
    <w:rsid w:val="00D230CE"/>
    <w:rsid w:val="00D240C9"/>
    <w:rsid w:val="00D24388"/>
    <w:rsid w:val="00D25C26"/>
    <w:rsid w:val="00D30802"/>
    <w:rsid w:val="00D3276B"/>
    <w:rsid w:val="00D33188"/>
    <w:rsid w:val="00D338F5"/>
    <w:rsid w:val="00D339F3"/>
    <w:rsid w:val="00D35732"/>
    <w:rsid w:val="00D50E0A"/>
    <w:rsid w:val="00D637EF"/>
    <w:rsid w:val="00D6785C"/>
    <w:rsid w:val="00D70B9F"/>
    <w:rsid w:val="00D736FA"/>
    <w:rsid w:val="00D82B49"/>
    <w:rsid w:val="00D87AAD"/>
    <w:rsid w:val="00DA09FB"/>
    <w:rsid w:val="00DA42D5"/>
    <w:rsid w:val="00DC40D7"/>
    <w:rsid w:val="00DD4A8F"/>
    <w:rsid w:val="00DD7588"/>
    <w:rsid w:val="00DE0D29"/>
    <w:rsid w:val="00DE1B10"/>
    <w:rsid w:val="00DF48B5"/>
    <w:rsid w:val="00E06278"/>
    <w:rsid w:val="00E24BCA"/>
    <w:rsid w:val="00E262DF"/>
    <w:rsid w:val="00E41E0A"/>
    <w:rsid w:val="00E50D97"/>
    <w:rsid w:val="00E5635B"/>
    <w:rsid w:val="00E57E1D"/>
    <w:rsid w:val="00E75225"/>
    <w:rsid w:val="00E75D56"/>
    <w:rsid w:val="00E96FB8"/>
    <w:rsid w:val="00E970CE"/>
    <w:rsid w:val="00EA04F9"/>
    <w:rsid w:val="00EA3225"/>
    <w:rsid w:val="00EA6735"/>
    <w:rsid w:val="00EB4D8B"/>
    <w:rsid w:val="00EB704E"/>
    <w:rsid w:val="00EC7A47"/>
    <w:rsid w:val="00ED2485"/>
    <w:rsid w:val="00EE25C7"/>
    <w:rsid w:val="00F063B1"/>
    <w:rsid w:val="00F14A66"/>
    <w:rsid w:val="00F17018"/>
    <w:rsid w:val="00F323D1"/>
    <w:rsid w:val="00F32646"/>
    <w:rsid w:val="00F364DF"/>
    <w:rsid w:val="00F43E3F"/>
    <w:rsid w:val="00F5004C"/>
    <w:rsid w:val="00F545CE"/>
    <w:rsid w:val="00F54862"/>
    <w:rsid w:val="00F66797"/>
    <w:rsid w:val="00F70016"/>
    <w:rsid w:val="00F92B2C"/>
    <w:rsid w:val="00F943E8"/>
    <w:rsid w:val="00FC644C"/>
    <w:rsid w:val="00FE792D"/>
    <w:rsid w:val="00FF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>
      <o:colormenu v:ext="edit" fillcolor="#00b050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8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802"/>
    <w:rPr>
      <w:sz w:val="18"/>
      <w:szCs w:val="18"/>
    </w:rPr>
  </w:style>
  <w:style w:type="character" w:styleId="a5">
    <w:name w:val="Hyperlink"/>
    <w:uiPriority w:val="99"/>
    <w:rsid w:val="00D30802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308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0802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C141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BD3294"/>
    <w:rPr>
      <w:i/>
      <w:iCs/>
    </w:rPr>
  </w:style>
  <w:style w:type="paragraph" w:styleId="a9">
    <w:name w:val="List Paragraph"/>
    <w:basedOn w:val="a"/>
    <w:uiPriority w:val="34"/>
    <w:qFormat/>
    <w:rsid w:val="006F447F"/>
    <w:pPr>
      <w:ind w:firstLineChars="200" w:firstLine="420"/>
    </w:pPr>
  </w:style>
  <w:style w:type="character" w:customStyle="1" w:styleId="opdicttext2">
    <w:name w:val="op_dict_text2"/>
    <w:basedOn w:val="a0"/>
    <w:rsid w:val="00951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nibf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bleabc.com/search.html?cstypename=%B5%E7%C0%C2%CD%F8&amp;text=%D0%C2%C4%DC%D4%B4%C6%FB%B3%B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A579-A6A1-42C3-8E98-E2E15A7A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4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182</cp:revision>
  <dcterms:created xsi:type="dcterms:W3CDTF">2016-09-01T03:07:00Z</dcterms:created>
  <dcterms:modified xsi:type="dcterms:W3CDTF">2018-03-05T02:23:00Z</dcterms:modified>
</cp:coreProperties>
</file>